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B6" w:rsidRPr="007419B4" w:rsidRDefault="008A1044" w:rsidP="008726B6">
      <w:pPr>
        <w:pStyle w:val="20"/>
        <w:shd w:val="clear" w:color="auto" w:fill="auto"/>
        <w:spacing w:before="0" w:after="0" w:line="240" w:lineRule="auto"/>
        <w:jc w:val="right"/>
      </w:pPr>
      <w:r w:rsidRPr="007419B4">
        <w:t xml:space="preserve">Приложение </w:t>
      </w:r>
      <w:r w:rsidR="00AF2DDF" w:rsidRPr="007419B4">
        <w:t>5</w:t>
      </w:r>
      <w:r w:rsidRPr="007419B4">
        <w:t>.</w:t>
      </w:r>
    </w:p>
    <w:p w:rsidR="008726B6" w:rsidRPr="007419B4" w:rsidRDefault="008726B6" w:rsidP="008726B6">
      <w:pPr>
        <w:pStyle w:val="20"/>
        <w:shd w:val="clear" w:color="auto" w:fill="auto"/>
        <w:spacing w:before="0" w:after="0" w:line="240" w:lineRule="auto"/>
      </w:pPr>
    </w:p>
    <w:p w:rsidR="002B4C22" w:rsidRPr="007419B4" w:rsidRDefault="002B4C22" w:rsidP="008726B6">
      <w:pPr>
        <w:pStyle w:val="20"/>
        <w:shd w:val="clear" w:color="auto" w:fill="auto"/>
        <w:spacing w:before="0" w:after="0" w:line="240" w:lineRule="auto"/>
        <w:jc w:val="center"/>
      </w:pPr>
    </w:p>
    <w:p w:rsidR="00C614CE" w:rsidRPr="007419B4" w:rsidRDefault="008A1044" w:rsidP="008726B6">
      <w:pPr>
        <w:pStyle w:val="20"/>
        <w:shd w:val="clear" w:color="auto" w:fill="auto"/>
        <w:spacing w:before="0" w:after="0" w:line="240" w:lineRule="auto"/>
        <w:jc w:val="center"/>
        <w:rPr>
          <w:b/>
        </w:rPr>
      </w:pPr>
      <w:r w:rsidRPr="007419B4">
        <w:rPr>
          <w:b/>
        </w:rPr>
        <w:t>ЭКСПЕРТНЫЙ ЛИСТ</w:t>
      </w:r>
    </w:p>
    <w:p w:rsidR="0004517A" w:rsidRPr="007419B4" w:rsidRDefault="0004517A" w:rsidP="008726B6">
      <w:pPr>
        <w:pStyle w:val="20"/>
        <w:shd w:val="clear" w:color="auto" w:fill="auto"/>
        <w:spacing w:before="0" w:after="0" w:line="240" w:lineRule="auto"/>
        <w:jc w:val="center"/>
      </w:pPr>
    </w:p>
    <w:p w:rsidR="003868FC" w:rsidRPr="007419B4" w:rsidRDefault="003868FC" w:rsidP="0004517A">
      <w:pPr>
        <w:pStyle w:val="20"/>
        <w:shd w:val="clear" w:color="auto" w:fill="auto"/>
        <w:spacing w:before="0" w:after="0" w:line="240" w:lineRule="auto"/>
      </w:pPr>
    </w:p>
    <w:p w:rsidR="003868FC" w:rsidRPr="007419B4" w:rsidRDefault="003868FC" w:rsidP="0004517A">
      <w:pPr>
        <w:pStyle w:val="20"/>
        <w:shd w:val="clear" w:color="auto" w:fill="auto"/>
        <w:spacing w:before="0" w:after="0" w:line="240" w:lineRule="auto"/>
      </w:pPr>
    </w:p>
    <w:p w:rsidR="007419B4" w:rsidRDefault="0004517A" w:rsidP="0004517A">
      <w:pPr>
        <w:pStyle w:val="20"/>
        <w:shd w:val="clear" w:color="auto" w:fill="auto"/>
        <w:spacing w:before="0" w:after="0" w:line="240" w:lineRule="auto"/>
      </w:pPr>
      <w:r w:rsidRPr="007419B4">
        <w:t>Эксперт (ФИО)</w:t>
      </w:r>
      <w:r w:rsidR="007419B4">
        <w:t>:</w:t>
      </w:r>
    </w:p>
    <w:p w:rsidR="0004517A" w:rsidRPr="007419B4" w:rsidRDefault="007419B4" w:rsidP="0004517A">
      <w:pPr>
        <w:pStyle w:val="20"/>
        <w:shd w:val="clear" w:color="auto" w:fill="auto"/>
        <w:spacing w:before="0" w:after="0" w:line="240" w:lineRule="auto"/>
      </w:pPr>
      <w:r>
        <w:t>_____________</w:t>
      </w:r>
      <w:r w:rsidR="0004517A" w:rsidRPr="007419B4">
        <w:t xml:space="preserve"> __________________________________________________</w:t>
      </w:r>
    </w:p>
    <w:p w:rsidR="003868FC" w:rsidRPr="007419B4" w:rsidRDefault="003868FC" w:rsidP="0004517A">
      <w:pPr>
        <w:pStyle w:val="20"/>
        <w:shd w:val="clear" w:color="auto" w:fill="auto"/>
        <w:spacing w:before="0" w:after="0" w:line="240" w:lineRule="auto"/>
      </w:pPr>
    </w:p>
    <w:p w:rsidR="007419B4" w:rsidRDefault="0004517A" w:rsidP="0004517A">
      <w:pPr>
        <w:pStyle w:val="20"/>
        <w:shd w:val="clear" w:color="auto" w:fill="auto"/>
        <w:spacing w:before="0" w:after="0" w:line="240" w:lineRule="auto"/>
      </w:pPr>
      <w:r w:rsidRPr="007419B4">
        <w:t>Аккредитуемая программа</w:t>
      </w:r>
      <w:r w:rsidR="003868FC" w:rsidRPr="007419B4">
        <w:t>:</w:t>
      </w:r>
      <w:r w:rsidRPr="007419B4">
        <w:t xml:space="preserve"> </w:t>
      </w:r>
    </w:p>
    <w:p w:rsidR="007419B4" w:rsidRPr="007419B4" w:rsidRDefault="007419B4" w:rsidP="0004517A">
      <w:pPr>
        <w:pStyle w:val="20"/>
        <w:shd w:val="clear" w:color="auto" w:fill="auto"/>
        <w:spacing w:before="0" w:after="0" w:line="240" w:lineRule="auto"/>
      </w:pPr>
      <w:r>
        <w:t>________________________________________________________________</w:t>
      </w:r>
    </w:p>
    <w:p w:rsidR="003868FC" w:rsidRPr="007419B4" w:rsidRDefault="003868FC" w:rsidP="0004517A">
      <w:pPr>
        <w:pStyle w:val="20"/>
        <w:shd w:val="clear" w:color="auto" w:fill="auto"/>
        <w:spacing w:before="0" w:after="0" w:line="240" w:lineRule="auto"/>
      </w:pPr>
    </w:p>
    <w:p w:rsidR="003868FC" w:rsidRPr="007419B4" w:rsidRDefault="003868FC" w:rsidP="0004517A">
      <w:pPr>
        <w:pStyle w:val="20"/>
        <w:shd w:val="clear" w:color="auto" w:fill="auto"/>
        <w:spacing w:before="0" w:after="0" w:line="240" w:lineRule="auto"/>
      </w:pPr>
      <w:r w:rsidRPr="007419B4">
        <w:t>Наименование организации, реализующей программу: _______________________</w:t>
      </w:r>
      <w:r w:rsidR="007419B4">
        <w:t>__</w:t>
      </w:r>
      <w:r w:rsidRPr="007419B4">
        <w:t>________________________________________</w:t>
      </w:r>
    </w:p>
    <w:p w:rsidR="003868FC" w:rsidRPr="007419B4" w:rsidRDefault="003868FC" w:rsidP="0004517A">
      <w:pPr>
        <w:pStyle w:val="20"/>
        <w:shd w:val="clear" w:color="auto" w:fill="auto"/>
        <w:spacing w:before="0" w:after="0" w:line="240" w:lineRule="auto"/>
      </w:pPr>
    </w:p>
    <w:p w:rsidR="003868FC" w:rsidRPr="007419B4" w:rsidRDefault="003868FC" w:rsidP="0004517A">
      <w:pPr>
        <w:pStyle w:val="20"/>
        <w:shd w:val="clear" w:color="auto" w:fill="auto"/>
        <w:spacing w:before="0" w:after="0" w:line="240" w:lineRule="auto"/>
        <w:rPr>
          <w:bCs/>
        </w:rPr>
      </w:pPr>
      <w:r w:rsidRPr="007419B4">
        <w:t xml:space="preserve">Договор </w:t>
      </w:r>
      <w:r w:rsidRPr="007419B4">
        <w:rPr>
          <w:bCs/>
        </w:rPr>
        <w:t>на оказание услуг по проведению профессионально-общественной аккредитации образовательных программ: от _________ № ___________.</w:t>
      </w:r>
    </w:p>
    <w:p w:rsidR="003868FC" w:rsidRPr="007419B4" w:rsidRDefault="003868FC" w:rsidP="0004517A">
      <w:pPr>
        <w:pStyle w:val="20"/>
        <w:shd w:val="clear" w:color="auto" w:fill="auto"/>
        <w:spacing w:before="0" w:after="0" w:line="240" w:lineRule="auto"/>
        <w:rPr>
          <w:bCs/>
        </w:rPr>
      </w:pPr>
    </w:p>
    <w:p w:rsidR="003868FC" w:rsidRPr="007419B4" w:rsidRDefault="003868FC" w:rsidP="0004517A">
      <w:pPr>
        <w:pStyle w:val="20"/>
        <w:shd w:val="clear" w:color="auto" w:fill="auto"/>
        <w:spacing w:before="0" w:after="0" w:line="240" w:lineRule="auto"/>
      </w:pPr>
    </w:p>
    <w:p w:rsidR="008A1044" w:rsidRDefault="008A1044" w:rsidP="00121812">
      <w:pPr>
        <w:pStyle w:val="20"/>
        <w:shd w:val="clear" w:color="auto" w:fill="auto"/>
        <w:spacing w:before="0" w:after="0" w:line="240" w:lineRule="auto"/>
        <w:jc w:val="both"/>
        <w:rPr>
          <w:sz w:val="24"/>
          <w:szCs w:val="24"/>
        </w:rPr>
      </w:pPr>
    </w:p>
    <w:p w:rsidR="00AF2DDF" w:rsidRDefault="00AF2DDF" w:rsidP="0004517A">
      <w:pPr>
        <w:pStyle w:val="20"/>
        <w:shd w:val="clear" w:color="auto" w:fill="auto"/>
        <w:spacing w:before="0" w:after="0" w:line="240" w:lineRule="auto"/>
        <w:rPr>
          <w:sz w:val="24"/>
          <w:szCs w:val="24"/>
        </w:rPr>
      </w:pPr>
    </w:p>
    <w:p w:rsidR="00AF2DDF" w:rsidRDefault="00AF2DDF" w:rsidP="0004517A">
      <w:pPr>
        <w:pStyle w:val="20"/>
        <w:shd w:val="clear" w:color="auto" w:fill="auto"/>
        <w:spacing w:before="0" w:after="0" w:line="240" w:lineRule="auto"/>
        <w:rPr>
          <w:sz w:val="24"/>
          <w:szCs w:val="24"/>
        </w:rPr>
      </w:pPr>
    </w:p>
    <w:p w:rsidR="00AF2DDF" w:rsidRDefault="00AF2DDF" w:rsidP="0004517A">
      <w:pPr>
        <w:pStyle w:val="20"/>
        <w:shd w:val="clear" w:color="auto" w:fill="auto"/>
        <w:spacing w:before="0" w:after="0" w:line="240" w:lineRule="auto"/>
        <w:rPr>
          <w:sz w:val="24"/>
          <w:szCs w:val="24"/>
        </w:rPr>
      </w:pPr>
    </w:p>
    <w:p w:rsidR="00AF2DDF" w:rsidRDefault="00AF2DDF" w:rsidP="0004517A">
      <w:pPr>
        <w:pStyle w:val="20"/>
        <w:shd w:val="clear" w:color="auto" w:fill="auto"/>
        <w:spacing w:before="0" w:after="0" w:line="240" w:lineRule="auto"/>
        <w:rPr>
          <w:sz w:val="24"/>
          <w:szCs w:val="24"/>
        </w:rPr>
      </w:pPr>
    </w:p>
    <w:p w:rsidR="00AF2DDF" w:rsidRDefault="00AF2DDF" w:rsidP="0004517A">
      <w:pPr>
        <w:pStyle w:val="20"/>
        <w:shd w:val="clear" w:color="auto" w:fill="auto"/>
        <w:spacing w:before="0" w:after="0" w:line="240" w:lineRule="auto"/>
        <w:rPr>
          <w:sz w:val="24"/>
          <w:szCs w:val="24"/>
        </w:rPr>
      </w:pPr>
    </w:p>
    <w:p w:rsidR="00AF2DDF" w:rsidRDefault="00AF2DDF" w:rsidP="0004517A">
      <w:pPr>
        <w:pStyle w:val="20"/>
        <w:shd w:val="clear" w:color="auto" w:fill="auto"/>
        <w:spacing w:before="0" w:after="0" w:line="240" w:lineRule="auto"/>
        <w:rPr>
          <w:sz w:val="24"/>
          <w:szCs w:val="24"/>
        </w:rPr>
      </w:pPr>
    </w:p>
    <w:p w:rsidR="00AF2DDF" w:rsidRDefault="00AF2DDF" w:rsidP="0004517A">
      <w:pPr>
        <w:pStyle w:val="20"/>
        <w:shd w:val="clear" w:color="auto" w:fill="auto"/>
        <w:spacing w:before="0" w:after="0" w:line="240" w:lineRule="auto"/>
        <w:rPr>
          <w:sz w:val="24"/>
          <w:szCs w:val="24"/>
        </w:rPr>
      </w:pPr>
    </w:p>
    <w:p w:rsidR="00AF2DDF" w:rsidRDefault="00AF2DDF" w:rsidP="0004517A">
      <w:pPr>
        <w:pStyle w:val="20"/>
        <w:shd w:val="clear" w:color="auto" w:fill="auto"/>
        <w:spacing w:before="0" w:after="0" w:line="240" w:lineRule="auto"/>
        <w:rPr>
          <w:sz w:val="24"/>
          <w:szCs w:val="24"/>
        </w:rPr>
      </w:pPr>
    </w:p>
    <w:p w:rsidR="00AF2DDF" w:rsidRDefault="00AF2DDF" w:rsidP="0004517A">
      <w:pPr>
        <w:pStyle w:val="20"/>
        <w:shd w:val="clear" w:color="auto" w:fill="auto"/>
        <w:spacing w:before="0" w:after="0" w:line="240" w:lineRule="auto"/>
        <w:rPr>
          <w:sz w:val="24"/>
          <w:szCs w:val="24"/>
        </w:rPr>
        <w:sectPr w:rsidR="00AF2DDF" w:rsidSect="00A76204">
          <w:footerReference w:type="even" r:id="rId7"/>
          <w:footerReference w:type="default" r:id="rId8"/>
          <w:pgSz w:w="11900" w:h="16840"/>
          <w:pgMar w:top="851" w:right="851" w:bottom="851" w:left="1701" w:header="0" w:footer="6" w:gutter="0"/>
          <w:cols w:space="720"/>
          <w:noEndnote/>
          <w:docGrid w:linePitch="360"/>
        </w:sectPr>
      </w:pPr>
    </w:p>
    <w:p w:rsidR="00AF2DDF" w:rsidRPr="00E0571E" w:rsidRDefault="00AF2DDF" w:rsidP="00AF2DDF">
      <w:pPr>
        <w:rPr>
          <w:rFonts w:ascii="Times New Roman" w:hAnsi="Times New Roman"/>
          <w:b/>
          <w:sz w:val="28"/>
          <w:szCs w:val="28"/>
        </w:rPr>
      </w:pPr>
    </w:p>
    <w:tbl>
      <w:tblPr>
        <w:tblW w:w="157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8"/>
        <w:gridCol w:w="6379"/>
        <w:gridCol w:w="1417"/>
        <w:gridCol w:w="1418"/>
        <w:gridCol w:w="3118"/>
      </w:tblGrid>
      <w:tr w:rsidR="005E68D4" w:rsidRPr="00E0571E" w:rsidTr="00F909A9">
        <w:trPr>
          <w:trHeight w:val="518"/>
        </w:trPr>
        <w:tc>
          <w:tcPr>
            <w:tcW w:w="3388" w:type="dxa"/>
            <w:vMerge w:val="restart"/>
            <w:shd w:val="clear" w:color="auto" w:fill="D9D9D9" w:themeFill="background1" w:themeFillShade="D9"/>
            <w:vAlign w:val="center"/>
          </w:tcPr>
          <w:p w:rsidR="005E68D4" w:rsidRPr="00121812" w:rsidRDefault="005E68D4" w:rsidP="00121812">
            <w:pPr>
              <w:jc w:val="center"/>
              <w:rPr>
                <w:rFonts w:ascii="Times New Roman" w:hAnsi="Times New Roman"/>
              </w:rPr>
            </w:pPr>
            <w:r w:rsidRPr="00121812">
              <w:rPr>
                <w:rFonts w:ascii="Times New Roman" w:hAnsi="Times New Roman"/>
              </w:rPr>
              <w:t>критерии</w:t>
            </w:r>
          </w:p>
        </w:tc>
        <w:tc>
          <w:tcPr>
            <w:tcW w:w="6379" w:type="dxa"/>
            <w:vMerge w:val="restart"/>
            <w:shd w:val="clear" w:color="auto" w:fill="D9D9D9" w:themeFill="background1" w:themeFillShade="D9"/>
            <w:vAlign w:val="center"/>
          </w:tcPr>
          <w:p w:rsidR="005E68D4" w:rsidRPr="00121812" w:rsidRDefault="005E68D4" w:rsidP="00121812">
            <w:pPr>
              <w:jc w:val="center"/>
              <w:rPr>
                <w:rFonts w:ascii="Times New Roman" w:hAnsi="Times New Roman"/>
              </w:rPr>
            </w:pPr>
            <w:r w:rsidRPr="00121812">
              <w:rPr>
                <w:rFonts w:ascii="Times New Roman" w:hAnsi="Times New Roman"/>
              </w:rPr>
              <w:t>показатели</w:t>
            </w:r>
          </w:p>
        </w:tc>
        <w:tc>
          <w:tcPr>
            <w:tcW w:w="2835" w:type="dxa"/>
            <w:gridSpan w:val="2"/>
            <w:shd w:val="clear" w:color="auto" w:fill="D9D9D9" w:themeFill="background1" w:themeFillShade="D9"/>
            <w:vAlign w:val="center"/>
          </w:tcPr>
          <w:p w:rsidR="005E68D4" w:rsidRPr="00EF01FF" w:rsidRDefault="005E68D4" w:rsidP="00EF01FF">
            <w:pPr>
              <w:jc w:val="center"/>
              <w:rPr>
                <w:rFonts w:ascii="Times New Roman" w:hAnsi="Times New Roman"/>
              </w:rPr>
            </w:pPr>
            <w:r w:rsidRPr="00EF01FF">
              <w:rPr>
                <w:rFonts w:ascii="Times New Roman" w:hAnsi="Times New Roman"/>
              </w:rPr>
              <w:t>Значение показателя</w:t>
            </w:r>
          </w:p>
        </w:tc>
        <w:tc>
          <w:tcPr>
            <w:tcW w:w="3118" w:type="dxa"/>
            <w:vMerge w:val="restart"/>
            <w:shd w:val="clear" w:color="auto" w:fill="D9D9D9" w:themeFill="background1" w:themeFillShade="D9"/>
            <w:vAlign w:val="center"/>
          </w:tcPr>
          <w:p w:rsidR="00F909A9" w:rsidRDefault="005E68D4" w:rsidP="005E68D4">
            <w:pPr>
              <w:jc w:val="center"/>
              <w:rPr>
                <w:rFonts w:ascii="Times New Roman" w:hAnsi="Times New Roman"/>
              </w:rPr>
            </w:pPr>
            <w:r>
              <w:rPr>
                <w:rFonts w:ascii="Times New Roman" w:hAnsi="Times New Roman"/>
              </w:rPr>
              <w:t xml:space="preserve">Пояснение </w:t>
            </w:r>
            <w:r w:rsidRPr="00121812">
              <w:rPr>
                <w:rFonts w:ascii="Times New Roman" w:hAnsi="Times New Roman"/>
              </w:rPr>
              <w:t>эксперта</w:t>
            </w:r>
          </w:p>
          <w:p w:rsidR="005E68D4" w:rsidRPr="00121812" w:rsidRDefault="00F909A9" w:rsidP="005E68D4">
            <w:pPr>
              <w:jc w:val="center"/>
              <w:rPr>
                <w:rFonts w:ascii="Times New Roman" w:hAnsi="Times New Roman"/>
                <w:i/>
                <w:sz w:val="20"/>
                <w:szCs w:val="20"/>
              </w:rPr>
            </w:pPr>
            <w:r>
              <w:rPr>
                <w:rFonts w:ascii="Times New Roman" w:hAnsi="Times New Roman"/>
              </w:rPr>
              <w:t>(</w:t>
            </w:r>
            <w:r w:rsidR="005E68D4">
              <w:rPr>
                <w:rFonts w:ascii="Times New Roman" w:hAnsi="Times New Roman"/>
              </w:rPr>
              <w:t>при необходимости</w:t>
            </w:r>
            <w:r>
              <w:rPr>
                <w:rFonts w:ascii="Times New Roman" w:hAnsi="Times New Roman"/>
              </w:rPr>
              <w:t>)</w:t>
            </w:r>
          </w:p>
        </w:tc>
      </w:tr>
      <w:tr w:rsidR="005E68D4" w:rsidRPr="00E0571E" w:rsidTr="00F909A9">
        <w:trPr>
          <w:trHeight w:val="487"/>
        </w:trPr>
        <w:tc>
          <w:tcPr>
            <w:tcW w:w="3388" w:type="dxa"/>
            <w:vMerge/>
            <w:shd w:val="clear" w:color="auto" w:fill="D9D9D9"/>
            <w:vAlign w:val="center"/>
          </w:tcPr>
          <w:p w:rsidR="005E68D4" w:rsidRPr="009D0809" w:rsidRDefault="005E68D4" w:rsidP="00F40E74">
            <w:pPr>
              <w:jc w:val="center"/>
              <w:rPr>
                <w:rFonts w:ascii="Times New Roman" w:hAnsi="Times New Roman"/>
                <w:b/>
                <w:sz w:val="28"/>
                <w:szCs w:val="28"/>
              </w:rPr>
            </w:pPr>
          </w:p>
        </w:tc>
        <w:tc>
          <w:tcPr>
            <w:tcW w:w="6379" w:type="dxa"/>
            <w:vMerge/>
            <w:shd w:val="clear" w:color="auto" w:fill="D9D9D9"/>
            <w:vAlign w:val="center"/>
          </w:tcPr>
          <w:p w:rsidR="005E68D4" w:rsidRPr="009D0809" w:rsidRDefault="005E68D4" w:rsidP="00F40E74">
            <w:pPr>
              <w:jc w:val="center"/>
              <w:rPr>
                <w:rFonts w:ascii="Times New Roman" w:hAnsi="Times New Roman"/>
                <w:b/>
                <w:sz w:val="28"/>
                <w:szCs w:val="28"/>
              </w:rPr>
            </w:pPr>
          </w:p>
        </w:tc>
        <w:tc>
          <w:tcPr>
            <w:tcW w:w="1417" w:type="dxa"/>
            <w:shd w:val="clear" w:color="auto" w:fill="D9D9D9"/>
            <w:vAlign w:val="center"/>
          </w:tcPr>
          <w:p w:rsidR="005E68D4" w:rsidRPr="00EF01FF" w:rsidRDefault="005E68D4" w:rsidP="005E68D4">
            <w:pPr>
              <w:jc w:val="center"/>
              <w:rPr>
                <w:rFonts w:ascii="Times New Roman" w:hAnsi="Times New Roman"/>
                <w:color w:val="auto"/>
              </w:rPr>
            </w:pPr>
            <w:r>
              <w:rPr>
                <w:rFonts w:ascii="Times New Roman" w:hAnsi="Times New Roman"/>
                <w:color w:val="auto"/>
              </w:rPr>
              <w:t>по данным отчета о самообсле-довании</w:t>
            </w:r>
          </w:p>
        </w:tc>
        <w:tc>
          <w:tcPr>
            <w:tcW w:w="1418" w:type="dxa"/>
            <w:shd w:val="clear" w:color="auto" w:fill="D9D9D9"/>
            <w:vAlign w:val="center"/>
          </w:tcPr>
          <w:p w:rsidR="005E68D4" w:rsidRPr="00EF01FF" w:rsidRDefault="005E68D4" w:rsidP="005E68D4">
            <w:pPr>
              <w:jc w:val="center"/>
              <w:rPr>
                <w:rFonts w:ascii="Times New Roman" w:hAnsi="Times New Roman"/>
                <w:color w:val="auto"/>
              </w:rPr>
            </w:pPr>
            <w:r>
              <w:rPr>
                <w:rFonts w:ascii="Times New Roman" w:hAnsi="Times New Roman"/>
                <w:color w:val="auto"/>
              </w:rPr>
              <w:t>по оценке эксперта</w:t>
            </w:r>
          </w:p>
        </w:tc>
        <w:tc>
          <w:tcPr>
            <w:tcW w:w="3118" w:type="dxa"/>
            <w:vMerge/>
            <w:shd w:val="clear" w:color="auto" w:fill="D9D9D9" w:themeFill="background1" w:themeFillShade="D9"/>
          </w:tcPr>
          <w:p w:rsidR="005E68D4" w:rsidRPr="009D0809" w:rsidRDefault="005E68D4" w:rsidP="00F40E74">
            <w:pPr>
              <w:pStyle w:val="20"/>
              <w:shd w:val="clear" w:color="auto" w:fill="auto"/>
              <w:spacing w:after="0" w:line="240" w:lineRule="auto"/>
              <w:jc w:val="center"/>
              <w:rPr>
                <w:b/>
              </w:rPr>
            </w:pPr>
          </w:p>
        </w:tc>
      </w:tr>
      <w:tr w:rsidR="005E68D4" w:rsidRPr="00E0571E" w:rsidTr="00F909A9">
        <w:trPr>
          <w:trHeight w:val="1428"/>
        </w:trPr>
        <w:tc>
          <w:tcPr>
            <w:tcW w:w="3388" w:type="dxa"/>
            <w:vMerge w:val="restart"/>
            <w:shd w:val="clear" w:color="auto" w:fill="auto"/>
          </w:tcPr>
          <w:p w:rsidR="005E68D4" w:rsidRPr="00E0571E" w:rsidRDefault="005E68D4" w:rsidP="00F40E74">
            <w:pPr>
              <w:rPr>
                <w:rFonts w:ascii="Times New Roman" w:hAnsi="Times New Roman"/>
              </w:rPr>
            </w:pPr>
            <w:r w:rsidRPr="00E0571E">
              <w:rPr>
                <w:rFonts w:ascii="Times New Roman" w:hAnsi="Times New Roman"/>
              </w:rPr>
              <w:t xml:space="preserve">1. Результаты прохождения выпускниками образовательной программы профессионального экзамена в форме </w:t>
            </w:r>
            <w:r>
              <w:rPr>
                <w:rFonts w:ascii="Times New Roman" w:hAnsi="Times New Roman"/>
              </w:rPr>
              <w:t>независимой оценки квалификации.</w:t>
            </w: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1.1. Доля выпускников образовательной программы, успешно прошедших процедуру независимой оценки квалификаций, от общего числа выпускников образовательной программы в срок не позднее трех лет после окончания образовательной программы</w:t>
            </w:r>
          </w:p>
        </w:tc>
        <w:tc>
          <w:tcPr>
            <w:tcW w:w="1417" w:type="dxa"/>
            <w:vAlign w:val="center"/>
          </w:tcPr>
          <w:p w:rsidR="005E68D4" w:rsidRPr="007F4711"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Pr="007F4711" w:rsidRDefault="005E68D4" w:rsidP="005E68D4">
            <w:pPr>
              <w:jc w:val="center"/>
              <w:rPr>
                <w:rFonts w:ascii="Times New Roman" w:hAnsi="Times New Roman"/>
                <w:b/>
              </w:rPr>
            </w:pPr>
            <w:r>
              <w:rPr>
                <w:rFonts w:ascii="Times New Roman" w:hAnsi="Times New Roman"/>
                <w:b/>
              </w:rPr>
              <w:t>___ %</w:t>
            </w:r>
          </w:p>
        </w:tc>
        <w:tc>
          <w:tcPr>
            <w:tcW w:w="3118" w:type="dxa"/>
          </w:tcPr>
          <w:p w:rsidR="005E68D4" w:rsidRPr="007F4711" w:rsidRDefault="005E68D4" w:rsidP="00F40E74">
            <w:pPr>
              <w:jc w:val="center"/>
              <w:rPr>
                <w:rFonts w:ascii="Times New Roman" w:hAnsi="Times New Roman"/>
                <w:b/>
              </w:rPr>
            </w:pPr>
          </w:p>
        </w:tc>
      </w:tr>
      <w:tr w:rsidR="005E68D4" w:rsidRPr="00E0571E" w:rsidTr="00F909A9">
        <w:trPr>
          <w:trHeight w:val="1407"/>
        </w:trPr>
        <w:tc>
          <w:tcPr>
            <w:tcW w:w="3388" w:type="dxa"/>
            <w:vMerge/>
            <w:shd w:val="clear" w:color="auto" w:fill="auto"/>
          </w:tcPr>
          <w:p w:rsidR="005E68D4" w:rsidRPr="00E0571E" w:rsidRDefault="005E68D4" w:rsidP="00F40E74">
            <w:pPr>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 xml:space="preserve">1.2. Доля выпускников образовательной программы, прошедших процедуру </w:t>
            </w:r>
            <w:r w:rsidRPr="009B7F57">
              <w:rPr>
                <w:rFonts w:ascii="Times New Roman" w:hAnsi="Times New Roman"/>
              </w:rPr>
              <w:drawing>
                <wp:inline distT="0" distB="0" distL="0" distR="0">
                  <wp:extent cx="12065" cy="12065"/>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6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r w:rsidRPr="009B7F57">
              <w:rPr>
                <w:rFonts w:ascii="Times New Roman" w:hAnsi="Times New Roman"/>
              </w:rPr>
              <w:t>государственной итоговой аттестации и получивших оценки «хорошо» и «отлично», от общего числа выпускников образовательной программы за последние три года до аккредитационной экспертизы</w:t>
            </w:r>
          </w:p>
        </w:tc>
        <w:tc>
          <w:tcPr>
            <w:tcW w:w="1417" w:type="dxa"/>
            <w:vAlign w:val="center"/>
          </w:tcPr>
          <w:p w:rsidR="005E68D4" w:rsidRPr="007F4711"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Pr="007F4711" w:rsidRDefault="005E68D4" w:rsidP="005E68D4">
            <w:pPr>
              <w:jc w:val="center"/>
              <w:rPr>
                <w:rFonts w:ascii="Times New Roman" w:hAnsi="Times New Roman"/>
                <w:b/>
              </w:rPr>
            </w:pPr>
            <w:r>
              <w:rPr>
                <w:rFonts w:ascii="Times New Roman" w:hAnsi="Times New Roman"/>
                <w:b/>
              </w:rPr>
              <w:t>___ %</w:t>
            </w:r>
          </w:p>
        </w:tc>
        <w:tc>
          <w:tcPr>
            <w:tcW w:w="3118" w:type="dxa"/>
          </w:tcPr>
          <w:p w:rsidR="005E68D4" w:rsidRPr="007F4711" w:rsidRDefault="005E68D4" w:rsidP="00F40E74">
            <w:pPr>
              <w:jc w:val="center"/>
              <w:rPr>
                <w:rFonts w:ascii="Times New Roman" w:hAnsi="Times New Roman"/>
                <w:b/>
              </w:rPr>
            </w:pPr>
          </w:p>
        </w:tc>
      </w:tr>
      <w:tr w:rsidR="005E68D4" w:rsidRPr="00E0571E" w:rsidTr="00F909A9">
        <w:trPr>
          <w:trHeight w:val="693"/>
        </w:trPr>
        <w:tc>
          <w:tcPr>
            <w:tcW w:w="3388" w:type="dxa"/>
            <w:vMerge/>
            <w:shd w:val="clear" w:color="auto" w:fill="auto"/>
          </w:tcPr>
          <w:p w:rsidR="005E68D4" w:rsidRPr="00E0571E" w:rsidRDefault="005E68D4" w:rsidP="00F40E74">
            <w:pPr>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1.3. Доля выпускников образовательной программы, чьи выпускные квалификационные работы нашли практическое применение в профильных организациях, от общего числа выпускников образовательной программы за последние три года до аккредитационной экспертизы</w:t>
            </w:r>
          </w:p>
        </w:tc>
        <w:tc>
          <w:tcPr>
            <w:tcW w:w="1417"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3118" w:type="dxa"/>
          </w:tcPr>
          <w:p w:rsidR="005E68D4" w:rsidRDefault="005E68D4" w:rsidP="00F40E74">
            <w:pPr>
              <w:jc w:val="center"/>
              <w:rPr>
                <w:rFonts w:ascii="Times New Roman" w:hAnsi="Times New Roman"/>
                <w:b/>
              </w:rPr>
            </w:pPr>
          </w:p>
        </w:tc>
      </w:tr>
      <w:tr w:rsidR="005E68D4" w:rsidRPr="00E0571E" w:rsidTr="00F909A9">
        <w:trPr>
          <w:trHeight w:val="1246"/>
        </w:trPr>
        <w:tc>
          <w:tcPr>
            <w:tcW w:w="3388" w:type="dxa"/>
            <w:vMerge/>
            <w:shd w:val="clear" w:color="auto" w:fill="auto"/>
          </w:tcPr>
          <w:p w:rsidR="005E68D4" w:rsidRPr="00E0571E" w:rsidRDefault="005E68D4" w:rsidP="00F40E74">
            <w:pPr>
              <w:snapToGrid w:val="0"/>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1.4. Доля участников конкурсов профессионального мастерства WorldSkills, «Лучший по профессии», других региональных, федеральных, международных конкурсов по профессиональному мастерству (по аккредитуемой программе) от общего числа выпускников образовательной программы за последние три года до аккредитационной экспертизы</w:t>
            </w:r>
          </w:p>
        </w:tc>
        <w:tc>
          <w:tcPr>
            <w:tcW w:w="1417"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3118" w:type="dxa"/>
          </w:tcPr>
          <w:p w:rsidR="005E68D4" w:rsidRDefault="005E68D4" w:rsidP="00F40E74">
            <w:pPr>
              <w:jc w:val="center"/>
              <w:rPr>
                <w:rFonts w:ascii="Times New Roman" w:hAnsi="Times New Roman"/>
                <w:b/>
              </w:rPr>
            </w:pPr>
          </w:p>
        </w:tc>
      </w:tr>
      <w:tr w:rsidR="005E68D4" w:rsidRPr="00E0571E" w:rsidTr="00F909A9">
        <w:trPr>
          <w:trHeight w:val="982"/>
        </w:trPr>
        <w:tc>
          <w:tcPr>
            <w:tcW w:w="3388" w:type="dxa"/>
            <w:shd w:val="clear" w:color="auto" w:fill="auto"/>
          </w:tcPr>
          <w:p w:rsidR="005E68D4" w:rsidRPr="00E0571E" w:rsidRDefault="005E68D4" w:rsidP="00F40E74">
            <w:pPr>
              <w:snapToGrid w:val="0"/>
              <w:rPr>
                <w:rFonts w:ascii="Times New Roman" w:hAnsi="Times New Roman"/>
              </w:rPr>
            </w:pPr>
            <w:r w:rsidRPr="00E0571E">
              <w:rPr>
                <w:rFonts w:ascii="Times New Roman" w:hAnsi="Times New Roman"/>
              </w:rPr>
              <w:t xml:space="preserve">2. </w:t>
            </w:r>
            <w:r w:rsidRPr="009B7F57">
              <w:rPr>
                <w:rFonts w:ascii="Times New Roman" w:hAnsi="Times New Roman"/>
              </w:rPr>
              <w:t xml:space="preserve">Соответствие сформулированных в образовательной программе планируемых результатов освоения образовательной </w:t>
            </w:r>
            <w:r w:rsidRPr="009B7F57">
              <w:rPr>
                <w:rFonts w:ascii="Times New Roman" w:hAnsi="Times New Roman"/>
              </w:rPr>
              <w:lastRenderedPageBreak/>
              <w:t>программы (выраженных в форме профессиональных компетенций) профессиональным стандартам, иным квалификационным требованиям, установленным федеральными законами и другими нормативными правовыми актами Российской Федерации</w:t>
            </w:r>
          </w:p>
        </w:tc>
        <w:tc>
          <w:tcPr>
            <w:tcW w:w="6379" w:type="dxa"/>
            <w:shd w:val="clear" w:color="auto" w:fill="auto"/>
          </w:tcPr>
          <w:p w:rsidR="005E68D4" w:rsidRPr="009B7F57" w:rsidRDefault="005E68D4" w:rsidP="009B7F57">
            <w:pPr>
              <w:rPr>
                <w:rFonts w:ascii="Times New Roman" w:hAnsi="Times New Roman"/>
              </w:rPr>
            </w:pPr>
            <w:r w:rsidRPr="009B7F57">
              <w:rPr>
                <w:rFonts w:ascii="Times New Roman" w:hAnsi="Times New Roman"/>
              </w:rPr>
              <w:lastRenderedPageBreak/>
              <w:t xml:space="preserve">2.1. Доля положений профессиональных стандартов, иных квалификационных требований, установленных федеральными законами и другими нормативными правовыми актами Российской Федерации, соответствующих профессиональной деятельности </w:t>
            </w:r>
            <w:r w:rsidRPr="009B7F57">
              <w:rPr>
                <w:rFonts w:ascii="Times New Roman" w:hAnsi="Times New Roman"/>
              </w:rPr>
              <w:lastRenderedPageBreak/>
              <w:t xml:space="preserve">выпускников, учтенных в составе планируемых результатов освоения образовательной программы в форме профессиональных компетенций.    </w:t>
            </w:r>
          </w:p>
        </w:tc>
        <w:tc>
          <w:tcPr>
            <w:tcW w:w="1417" w:type="dxa"/>
            <w:vAlign w:val="center"/>
          </w:tcPr>
          <w:p w:rsidR="005E68D4" w:rsidRDefault="005E68D4" w:rsidP="005E68D4">
            <w:pPr>
              <w:spacing w:after="2" w:line="255" w:lineRule="auto"/>
              <w:ind w:left="57" w:right="-58"/>
              <w:jc w:val="center"/>
              <w:rPr>
                <w:rFonts w:ascii="Times New Roman" w:hAnsi="Times New Roman"/>
                <w:b/>
              </w:rPr>
            </w:pPr>
            <w:r>
              <w:rPr>
                <w:rFonts w:ascii="Times New Roman" w:hAnsi="Times New Roman"/>
                <w:b/>
              </w:rPr>
              <w:lastRenderedPageBreak/>
              <w:t>___ %</w:t>
            </w:r>
          </w:p>
        </w:tc>
        <w:tc>
          <w:tcPr>
            <w:tcW w:w="1418" w:type="dxa"/>
            <w:vAlign w:val="center"/>
          </w:tcPr>
          <w:p w:rsidR="005E68D4" w:rsidRDefault="005E68D4" w:rsidP="005E68D4">
            <w:pPr>
              <w:spacing w:after="2" w:line="255" w:lineRule="auto"/>
              <w:ind w:left="57" w:right="-58"/>
              <w:jc w:val="center"/>
              <w:rPr>
                <w:rFonts w:ascii="Times New Roman" w:hAnsi="Times New Roman"/>
                <w:b/>
              </w:rPr>
            </w:pPr>
            <w:r>
              <w:rPr>
                <w:rFonts w:ascii="Times New Roman" w:hAnsi="Times New Roman"/>
                <w:b/>
              </w:rPr>
              <w:t>___ %</w:t>
            </w:r>
          </w:p>
        </w:tc>
        <w:tc>
          <w:tcPr>
            <w:tcW w:w="3118" w:type="dxa"/>
          </w:tcPr>
          <w:p w:rsidR="005E68D4" w:rsidRDefault="005E68D4" w:rsidP="00F40E74">
            <w:pPr>
              <w:spacing w:after="2" w:line="255" w:lineRule="auto"/>
              <w:ind w:left="57" w:right="-58"/>
              <w:jc w:val="center"/>
              <w:rPr>
                <w:rFonts w:ascii="Times New Roman" w:hAnsi="Times New Roman"/>
                <w:b/>
              </w:rPr>
            </w:pPr>
          </w:p>
        </w:tc>
      </w:tr>
      <w:tr w:rsidR="005E68D4" w:rsidRPr="00E0571E" w:rsidTr="00F909A9">
        <w:trPr>
          <w:trHeight w:val="982"/>
        </w:trPr>
        <w:tc>
          <w:tcPr>
            <w:tcW w:w="3388" w:type="dxa"/>
            <w:vMerge w:val="restart"/>
            <w:shd w:val="clear" w:color="auto" w:fill="auto"/>
          </w:tcPr>
          <w:p w:rsidR="005E68D4" w:rsidRPr="00E0571E" w:rsidRDefault="005E68D4" w:rsidP="008A50D7">
            <w:pPr>
              <w:snapToGrid w:val="0"/>
              <w:rPr>
                <w:rFonts w:ascii="Times New Roman" w:hAnsi="Times New Roman"/>
              </w:rPr>
            </w:pPr>
            <w:r w:rsidRPr="00E0571E">
              <w:rPr>
                <w:rFonts w:ascii="Times New Roman" w:hAnsi="Times New Roman"/>
              </w:rPr>
              <w:lastRenderedPageBreak/>
              <w:t xml:space="preserve">3. </w:t>
            </w:r>
            <w:r w:rsidRPr="008A50D7">
              <w:rPr>
                <w:rFonts w:ascii="Times New Roman" w:hAnsi="Times New Roman"/>
              </w:rPr>
              <w:t>Соответствие учебных планов, рабочих программ учебных предметов, курсов, дисциплин (модулей), оценочных материалов и процедур положениям профессиональных стандартов и запланированным результатам освоения образовательной программы</w:t>
            </w:r>
          </w:p>
        </w:tc>
        <w:tc>
          <w:tcPr>
            <w:tcW w:w="6379" w:type="dxa"/>
            <w:shd w:val="clear" w:color="auto" w:fill="auto"/>
          </w:tcPr>
          <w:p w:rsidR="005E68D4" w:rsidRPr="009B7F57" w:rsidRDefault="005E68D4" w:rsidP="009B7F57">
            <w:pPr>
              <w:rPr>
                <w:rFonts w:ascii="Times New Roman" w:hAnsi="Times New Roman"/>
              </w:rPr>
            </w:pPr>
            <w:r w:rsidRPr="009B7F57">
              <w:rPr>
                <w:rFonts w:ascii="Times New Roman" w:hAnsi="Times New Roman"/>
              </w:rPr>
              <w:t>3.1. Доля трудовых действий (трудовых функций) сопрягаемых профессиональных стандартов, учтенных в структуре учебного плана в виде профессиональных компетенций в разрезе дисциплин (модулей), практик</w:t>
            </w:r>
          </w:p>
        </w:tc>
        <w:tc>
          <w:tcPr>
            <w:tcW w:w="1417"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3118" w:type="dxa"/>
          </w:tcPr>
          <w:p w:rsidR="005E68D4" w:rsidRDefault="005E68D4" w:rsidP="00F40E74">
            <w:pPr>
              <w:jc w:val="center"/>
              <w:rPr>
                <w:rFonts w:ascii="Times New Roman" w:hAnsi="Times New Roman"/>
                <w:b/>
              </w:rPr>
            </w:pPr>
          </w:p>
        </w:tc>
      </w:tr>
      <w:tr w:rsidR="005E68D4" w:rsidRPr="00E0571E" w:rsidTr="00F909A9">
        <w:trPr>
          <w:trHeight w:val="1123"/>
        </w:trPr>
        <w:tc>
          <w:tcPr>
            <w:tcW w:w="3388" w:type="dxa"/>
            <w:vMerge/>
            <w:shd w:val="clear" w:color="auto" w:fill="auto"/>
          </w:tcPr>
          <w:p w:rsidR="005E68D4" w:rsidRPr="00E0571E" w:rsidRDefault="005E68D4" w:rsidP="00F40E74">
            <w:pPr>
              <w:snapToGrid w:val="0"/>
              <w:rPr>
                <w:rFonts w:ascii="Times New Roman" w:hAnsi="Times New Roman"/>
              </w:rPr>
            </w:pPr>
          </w:p>
        </w:tc>
        <w:tc>
          <w:tcPr>
            <w:tcW w:w="6379" w:type="dxa"/>
            <w:shd w:val="clear" w:color="auto" w:fill="auto"/>
          </w:tcPr>
          <w:p w:rsidR="005E68D4" w:rsidRPr="009B7F57" w:rsidRDefault="005E68D4" w:rsidP="009B7F57">
            <w:pPr>
              <w:rPr>
                <w:rFonts w:ascii="Times New Roman" w:hAnsi="Times New Roman"/>
              </w:rPr>
            </w:pPr>
            <w:r w:rsidRPr="009B7F57">
              <w:rPr>
                <w:rFonts w:ascii="Times New Roman" w:hAnsi="Times New Roman"/>
              </w:rPr>
              <w:t xml:space="preserve">3.2. Доля положений профессионального стандарта в виде необходимых умений, учтенных в связанных компонентах запланированных результатов освоения образовательной программы в рабочих программах учебных предметов, курсов, дисциплин, модулей, практик </w:t>
            </w:r>
          </w:p>
        </w:tc>
        <w:tc>
          <w:tcPr>
            <w:tcW w:w="1417"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3118" w:type="dxa"/>
          </w:tcPr>
          <w:p w:rsidR="005E68D4" w:rsidRDefault="005E68D4" w:rsidP="00F40E74">
            <w:pPr>
              <w:jc w:val="center"/>
              <w:rPr>
                <w:rFonts w:ascii="Times New Roman" w:hAnsi="Times New Roman"/>
                <w:b/>
              </w:rPr>
            </w:pPr>
          </w:p>
        </w:tc>
      </w:tr>
      <w:tr w:rsidR="005E68D4" w:rsidRPr="00E0571E" w:rsidTr="00F909A9">
        <w:trPr>
          <w:trHeight w:val="1381"/>
        </w:trPr>
        <w:tc>
          <w:tcPr>
            <w:tcW w:w="3388" w:type="dxa"/>
            <w:vMerge/>
            <w:shd w:val="clear" w:color="auto" w:fill="auto"/>
          </w:tcPr>
          <w:p w:rsidR="005E68D4" w:rsidRPr="00E0571E" w:rsidRDefault="005E68D4" w:rsidP="00F40E74">
            <w:pPr>
              <w:snapToGrid w:val="0"/>
              <w:rPr>
                <w:rFonts w:ascii="Times New Roman" w:hAnsi="Times New Roman"/>
              </w:rPr>
            </w:pPr>
          </w:p>
        </w:tc>
        <w:tc>
          <w:tcPr>
            <w:tcW w:w="6379" w:type="dxa"/>
            <w:shd w:val="clear" w:color="auto" w:fill="auto"/>
          </w:tcPr>
          <w:p w:rsidR="005E68D4" w:rsidRPr="009B7F57" w:rsidRDefault="005E68D4" w:rsidP="009B7F57">
            <w:pPr>
              <w:rPr>
                <w:rFonts w:ascii="Times New Roman" w:hAnsi="Times New Roman"/>
              </w:rPr>
            </w:pPr>
            <w:r w:rsidRPr="009B7F57">
              <w:rPr>
                <w:rFonts w:ascii="Times New Roman" w:hAnsi="Times New Roman"/>
              </w:rPr>
              <w:t>3.3. Доля положений профессионального стандарта в виде необходимых знаний, учтенных в связанных компонентах запланированных результатов освоения образовательной программы в рабочих программах учебных предметов, курсов, дисциплин, модулей, практик</w:t>
            </w:r>
          </w:p>
        </w:tc>
        <w:tc>
          <w:tcPr>
            <w:tcW w:w="1417"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3118" w:type="dxa"/>
          </w:tcPr>
          <w:p w:rsidR="005E68D4" w:rsidRDefault="005E68D4" w:rsidP="00F40E74">
            <w:pPr>
              <w:jc w:val="center"/>
              <w:rPr>
                <w:rFonts w:ascii="Times New Roman" w:hAnsi="Times New Roman"/>
                <w:b/>
              </w:rPr>
            </w:pPr>
          </w:p>
        </w:tc>
      </w:tr>
      <w:tr w:rsidR="005E68D4" w:rsidRPr="00E0571E" w:rsidTr="00F909A9">
        <w:trPr>
          <w:trHeight w:val="982"/>
        </w:trPr>
        <w:tc>
          <w:tcPr>
            <w:tcW w:w="3388" w:type="dxa"/>
            <w:vMerge/>
            <w:shd w:val="clear" w:color="auto" w:fill="auto"/>
          </w:tcPr>
          <w:p w:rsidR="005E68D4" w:rsidRPr="00E0571E" w:rsidRDefault="005E68D4" w:rsidP="00F40E74">
            <w:pPr>
              <w:snapToGrid w:val="0"/>
              <w:rPr>
                <w:rFonts w:ascii="Times New Roman" w:hAnsi="Times New Roman"/>
              </w:rPr>
            </w:pPr>
          </w:p>
        </w:tc>
        <w:tc>
          <w:tcPr>
            <w:tcW w:w="6379" w:type="dxa"/>
            <w:shd w:val="clear" w:color="auto" w:fill="auto"/>
          </w:tcPr>
          <w:p w:rsidR="005E68D4" w:rsidRPr="009B7F57" w:rsidRDefault="005E68D4" w:rsidP="009B7F57">
            <w:pPr>
              <w:rPr>
                <w:rFonts w:ascii="Times New Roman" w:hAnsi="Times New Roman"/>
              </w:rPr>
            </w:pPr>
            <w:r w:rsidRPr="009B7F57">
              <w:rPr>
                <w:rFonts w:ascii="Times New Roman" w:hAnsi="Times New Roman"/>
              </w:rPr>
              <w:t xml:space="preserve">3.4. Доля положений профессионального стандарта в виде необходимых умений, необходимых знаний и трудовых действий, учтенных в фонде оценочных средств, </w:t>
            </w:r>
            <w:r w:rsidRPr="009B7F57">
              <w:rPr>
                <w:rFonts w:ascii="Times New Roman" w:hAnsi="Times New Roman"/>
              </w:rPr>
              <w:drawing>
                <wp:inline distT="0" distB="0" distL="0" distR="0">
                  <wp:extent cx="12065" cy="12065"/>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1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r w:rsidRPr="009B7F57">
              <w:rPr>
                <w:rFonts w:ascii="Times New Roman" w:hAnsi="Times New Roman"/>
              </w:rPr>
              <w:t xml:space="preserve">используемых при проведении промежуточной и итоговой аттестации </w:t>
            </w:r>
          </w:p>
        </w:tc>
        <w:tc>
          <w:tcPr>
            <w:tcW w:w="1417"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3118" w:type="dxa"/>
          </w:tcPr>
          <w:p w:rsidR="005E68D4" w:rsidRDefault="005E68D4" w:rsidP="00F40E74">
            <w:pPr>
              <w:jc w:val="center"/>
              <w:rPr>
                <w:rFonts w:ascii="Times New Roman" w:hAnsi="Times New Roman"/>
                <w:b/>
              </w:rPr>
            </w:pPr>
          </w:p>
        </w:tc>
      </w:tr>
      <w:tr w:rsidR="005E68D4" w:rsidRPr="00E0571E" w:rsidTr="00F909A9">
        <w:trPr>
          <w:trHeight w:val="1827"/>
        </w:trPr>
        <w:tc>
          <w:tcPr>
            <w:tcW w:w="3388" w:type="dxa"/>
            <w:vMerge w:val="restart"/>
            <w:shd w:val="clear" w:color="auto" w:fill="auto"/>
          </w:tcPr>
          <w:p w:rsidR="005E68D4" w:rsidRPr="008A50D7" w:rsidRDefault="005E68D4" w:rsidP="008A50D7">
            <w:pPr>
              <w:ind w:left="-5"/>
              <w:rPr>
                <w:rFonts w:ascii="Times New Roman" w:hAnsi="Times New Roman"/>
              </w:rPr>
            </w:pPr>
            <w:r w:rsidRPr="008A50D7">
              <w:rPr>
                <w:rFonts w:ascii="Times New Roman" w:hAnsi="Times New Roman"/>
              </w:rPr>
              <w:lastRenderedPageBreak/>
              <w:t>4.  Соответствие кадровых, материально-технических, информационно-коммуникационных, учебно-методических и иных ресурсов, непосредственно влияющих на качество подготовки выпускников, содержанию профессиональной деятельности и профессиональным задачам, к которым готовится выпускник</w:t>
            </w: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4.1. Доля лабораторий, мастерских, учебно-производственных объектов, оснащенных современными приборами и оборудованием, от общего количества лабораторий, мастерских, учебно-производственных объектов, необходимых для реализации образовательной программы</w:t>
            </w:r>
          </w:p>
        </w:tc>
        <w:tc>
          <w:tcPr>
            <w:tcW w:w="1417" w:type="dxa"/>
            <w:vAlign w:val="center"/>
          </w:tcPr>
          <w:p w:rsidR="005E68D4" w:rsidRPr="008F1A81"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Pr="008F1A81" w:rsidRDefault="005E68D4" w:rsidP="005E68D4">
            <w:pPr>
              <w:jc w:val="center"/>
              <w:rPr>
                <w:rFonts w:ascii="Times New Roman" w:hAnsi="Times New Roman"/>
                <w:b/>
              </w:rPr>
            </w:pPr>
            <w:r>
              <w:rPr>
                <w:rFonts w:ascii="Times New Roman" w:hAnsi="Times New Roman"/>
                <w:b/>
              </w:rPr>
              <w:t>___ %</w:t>
            </w:r>
          </w:p>
        </w:tc>
        <w:tc>
          <w:tcPr>
            <w:tcW w:w="3118" w:type="dxa"/>
          </w:tcPr>
          <w:p w:rsidR="005E68D4" w:rsidRPr="008F1A81" w:rsidRDefault="005E68D4" w:rsidP="00F40E74">
            <w:pPr>
              <w:jc w:val="center"/>
              <w:rPr>
                <w:rFonts w:ascii="Times New Roman" w:hAnsi="Times New Roman"/>
                <w:b/>
              </w:rPr>
            </w:pPr>
          </w:p>
        </w:tc>
      </w:tr>
      <w:tr w:rsidR="005E68D4" w:rsidRPr="00E0571E" w:rsidTr="00F909A9">
        <w:trPr>
          <w:trHeight w:val="1696"/>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 xml:space="preserve">4.2. Доля трудовых функций (трудовых действий) сопрягаемых профессиональных стандартов в виде профессиональных компетенций, обеспеченных базами для проведения практики, оснащенными современным оборудованием, приборами и специализированными полигонами </w:t>
            </w:r>
          </w:p>
        </w:tc>
        <w:tc>
          <w:tcPr>
            <w:tcW w:w="1417"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3118" w:type="dxa"/>
          </w:tcPr>
          <w:p w:rsidR="005E68D4" w:rsidRDefault="005E68D4" w:rsidP="00F40E74">
            <w:pPr>
              <w:jc w:val="center"/>
              <w:rPr>
                <w:rFonts w:ascii="Times New Roman" w:hAnsi="Times New Roman"/>
                <w:b/>
              </w:rPr>
            </w:pPr>
          </w:p>
        </w:tc>
      </w:tr>
      <w:tr w:rsidR="005E68D4" w:rsidRPr="00E0571E" w:rsidTr="00F909A9">
        <w:trPr>
          <w:trHeight w:val="842"/>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4.3. Соответствие всех элементов информационно-коммуникационной инфраструктуры современному уровню</w:t>
            </w:r>
          </w:p>
        </w:tc>
        <w:tc>
          <w:tcPr>
            <w:tcW w:w="1417" w:type="dxa"/>
            <w:vAlign w:val="center"/>
          </w:tcPr>
          <w:p w:rsidR="005E68D4" w:rsidRPr="00E152A4" w:rsidRDefault="005E68D4" w:rsidP="00F40E7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1418" w:type="dxa"/>
            <w:vAlign w:val="center"/>
          </w:tcPr>
          <w:p w:rsidR="005E68D4" w:rsidRPr="00E152A4" w:rsidRDefault="005E68D4" w:rsidP="00F40E7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3118" w:type="dxa"/>
          </w:tcPr>
          <w:p w:rsidR="005E68D4" w:rsidRDefault="005E68D4" w:rsidP="00F40E74">
            <w:pPr>
              <w:jc w:val="center"/>
              <w:rPr>
                <w:rFonts w:ascii="Times New Roman" w:hAnsi="Times New Roman"/>
                <w:b/>
              </w:rPr>
            </w:pPr>
          </w:p>
        </w:tc>
      </w:tr>
      <w:tr w:rsidR="005E68D4" w:rsidRPr="00E0571E" w:rsidTr="00F909A9">
        <w:trPr>
          <w:trHeight w:val="1123"/>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4.4. Наличие свободного доступа обучаемых к информационным образовательным ресурсам (профессиональным базам данных и др.), соответствующим направленности аккредитуемой образовательной программы</w:t>
            </w:r>
          </w:p>
        </w:tc>
        <w:tc>
          <w:tcPr>
            <w:tcW w:w="1417" w:type="dxa"/>
            <w:vAlign w:val="center"/>
          </w:tcPr>
          <w:p w:rsidR="005E68D4" w:rsidRPr="00E152A4" w:rsidRDefault="005E68D4" w:rsidP="00F40E7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1418" w:type="dxa"/>
            <w:vAlign w:val="center"/>
          </w:tcPr>
          <w:p w:rsidR="005E68D4" w:rsidRPr="00E152A4" w:rsidRDefault="005E68D4" w:rsidP="00F40E7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3118" w:type="dxa"/>
          </w:tcPr>
          <w:p w:rsidR="005E68D4" w:rsidRDefault="005E68D4" w:rsidP="00F40E74">
            <w:pPr>
              <w:jc w:val="center"/>
              <w:rPr>
                <w:rFonts w:ascii="Times New Roman" w:hAnsi="Times New Roman"/>
                <w:b/>
              </w:rPr>
            </w:pPr>
          </w:p>
        </w:tc>
      </w:tr>
      <w:tr w:rsidR="005E68D4" w:rsidRPr="00E0571E" w:rsidTr="00F909A9">
        <w:trPr>
          <w:trHeight w:val="2291"/>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 xml:space="preserve">4.5. Доля базовых учебников и учебно-методических материалов, используемых в дисциплинах (модулях), практиках для освоения непосредственно профессиональных компетенций, получивших в течение пяти последних лет положительное заключение экспертов общероссийских и иных объединений работодателей, советов по профессиональным квалификациям, крупнейших компаний </w:t>
            </w:r>
          </w:p>
        </w:tc>
        <w:tc>
          <w:tcPr>
            <w:tcW w:w="1417" w:type="dxa"/>
            <w:vAlign w:val="center"/>
          </w:tcPr>
          <w:p w:rsidR="005E68D4" w:rsidRPr="001445EE"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Pr="001445EE" w:rsidRDefault="005E68D4" w:rsidP="005E68D4">
            <w:pPr>
              <w:jc w:val="center"/>
              <w:rPr>
                <w:rFonts w:ascii="Times New Roman" w:hAnsi="Times New Roman"/>
                <w:b/>
              </w:rPr>
            </w:pPr>
            <w:r>
              <w:rPr>
                <w:rFonts w:ascii="Times New Roman" w:hAnsi="Times New Roman"/>
                <w:b/>
              </w:rPr>
              <w:t>___ %</w:t>
            </w:r>
          </w:p>
        </w:tc>
        <w:tc>
          <w:tcPr>
            <w:tcW w:w="3118" w:type="dxa"/>
          </w:tcPr>
          <w:p w:rsidR="005E68D4" w:rsidRPr="001445EE" w:rsidRDefault="005E68D4" w:rsidP="00F40E74">
            <w:pPr>
              <w:jc w:val="center"/>
              <w:rPr>
                <w:rFonts w:ascii="Times New Roman" w:hAnsi="Times New Roman"/>
                <w:b/>
              </w:rPr>
            </w:pPr>
          </w:p>
        </w:tc>
      </w:tr>
      <w:tr w:rsidR="005E68D4" w:rsidRPr="00E0571E" w:rsidTr="00F909A9">
        <w:trPr>
          <w:trHeight w:val="551"/>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 xml:space="preserve">4.6. Доля педагогических работников, прошедших повышение квалификации (переподготовку) в профильных организациях (в соответствии с содержанием профессиональной деятельности, к которой готовятся выпускники аккредитуемой образовательной программы) в </w:t>
            </w:r>
            <w:r w:rsidRPr="009B7F57">
              <w:rPr>
                <w:rFonts w:ascii="Times New Roman" w:hAnsi="Times New Roman"/>
              </w:rPr>
              <w:lastRenderedPageBreak/>
              <w:t>течение трех последних лет, от общего числа занятых в образовательном процессе</w:t>
            </w:r>
          </w:p>
        </w:tc>
        <w:tc>
          <w:tcPr>
            <w:tcW w:w="1417" w:type="dxa"/>
            <w:vAlign w:val="center"/>
          </w:tcPr>
          <w:p w:rsidR="005E68D4" w:rsidRPr="00B335AC" w:rsidRDefault="005E68D4" w:rsidP="005E68D4">
            <w:pPr>
              <w:jc w:val="center"/>
              <w:rPr>
                <w:rFonts w:ascii="Times New Roman" w:hAnsi="Times New Roman"/>
                <w:b/>
              </w:rPr>
            </w:pPr>
            <w:r>
              <w:rPr>
                <w:rFonts w:ascii="Times New Roman" w:hAnsi="Times New Roman"/>
                <w:b/>
              </w:rPr>
              <w:lastRenderedPageBreak/>
              <w:t>___ %</w:t>
            </w:r>
          </w:p>
        </w:tc>
        <w:tc>
          <w:tcPr>
            <w:tcW w:w="1418" w:type="dxa"/>
            <w:vAlign w:val="center"/>
          </w:tcPr>
          <w:p w:rsidR="005E68D4" w:rsidRPr="00B335AC" w:rsidRDefault="005E68D4" w:rsidP="005E68D4">
            <w:pPr>
              <w:jc w:val="center"/>
              <w:rPr>
                <w:rFonts w:ascii="Times New Roman" w:hAnsi="Times New Roman"/>
                <w:b/>
              </w:rPr>
            </w:pPr>
            <w:r>
              <w:rPr>
                <w:rFonts w:ascii="Times New Roman" w:hAnsi="Times New Roman"/>
                <w:b/>
              </w:rPr>
              <w:t>___ %</w:t>
            </w:r>
          </w:p>
        </w:tc>
        <w:tc>
          <w:tcPr>
            <w:tcW w:w="3118" w:type="dxa"/>
          </w:tcPr>
          <w:p w:rsidR="005E68D4" w:rsidRPr="00B335AC" w:rsidRDefault="005E68D4" w:rsidP="00F40E74">
            <w:pPr>
              <w:jc w:val="center"/>
              <w:rPr>
                <w:rFonts w:ascii="Times New Roman" w:hAnsi="Times New Roman"/>
                <w:b/>
              </w:rPr>
            </w:pPr>
          </w:p>
        </w:tc>
      </w:tr>
      <w:tr w:rsidR="005E68D4" w:rsidRPr="00E0571E" w:rsidTr="00F909A9">
        <w:trPr>
          <w:trHeight w:val="1045"/>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4.7. Доля педагогических работников, имеющих не менее, чем 5-ти летний стаж профессиональной деятельности, соответствующий профилю аккредитуемой образовательной программы, от общего числа занятых в образовательном процессе</w:t>
            </w:r>
          </w:p>
        </w:tc>
        <w:tc>
          <w:tcPr>
            <w:tcW w:w="1417" w:type="dxa"/>
            <w:vAlign w:val="center"/>
          </w:tcPr>
          <w:p w:rsidR="005E68D4" w:rsidRPr="00B335AC"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Pr="00B335AC" w:rsidRDefault="005E68D4" w:rsidP="005E68D4">
            <w:pPr>
              <w:jc w:val="center"/>
              <w:rPr>
                <w:rFonts w:ascii="Times New Roman" w:hAnsi="Times New Roman"/>
                <w:b/>
              </w:rPr>
            </w:pPr>
            <w:r>
              <w:rPr>
                <w:rFonts w:ascii="Times New Roman" w:hAnsi="Times New Roman"/>
                <w:b/>
              </w:rPr>
              <w:t>___ %</w:t>
            </w:r>
          </w:p>
        </w:tc>
        <w:tc>
          <w:tcPr>
            <w:tcW w:w="3118" w:type="dxa"/>
          </w:tcPr>
          <w:p w:rsidR="005E68D4" w:rsidRPr="00B335AC" w:rsidRDefault="005E68D4" w:rsidP="00F40E74">
            <w:pPr>
              <w:jc w:val="center"/>
              <w:rPr>
                <w:rFonts w:ascii="Times New Roman" w:hAnsi="Times New Roman"/>
                <w:b/>
              </w:rPr>
            </w:pPr>
          </w:p>
        </w:tc>
      </w:tr>
      <w:tr w:rsidR="005E68D4" w:rsidRPr="00E0571E" w:rsidTr="00F909A9">
        <w:trPr>
          <w:trHeight w:val="861"/>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4.8. Доля преподавателей, совмещающих педагогическую деятельность как основную с работой в отрасли по профилю образовательной программы</w:t>
            </w:r>
          </w:p>
        </w:tc>
        <w:tc>
          <w:tcPr>
            <w:tcW w:w="1417" w:type="dxa"/>
            <w:vAlign w:val="center"/>
          </w:tcPr>
          <w:p w:rsidR="005E68D4" w:rsidRPr="00B335AC"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Pr="00B335AC" w:rsidRDefault="005E68D4" w:rsidP="005E68D4">
            <w:pPr>
              <w:jc w:val="center"/>
              <w:rPr>
                <w:rFonts w:ascii="Times New Roman" w:hAnsi="Times New Roman"/>
                <w:b/>
              </w:rPr>
            </w:pPr>
            <w:r>
              <w:rPr>
                <w:rFonts w:ascii="Times New Roman" w:hAnsi="Times New Roman"/>
                <w:b/>
              </w:rPr>
              <w:t>___ %</w:t>
            </w:r>
          </w:p>
        </w:tc>
        <w:tc>
          <w:tcPr>
            <w:tcW w:w="3118" w:type="dxa"/>
          </w:tcPr>
          <w:p w:rsidR="005E68D4" w:rsidRPr="00B335AC" w:rsidRDefault="005E68D4" w:rsidP="00F40E74">
            <w:pPr>
              <w:jc w:val="center"/>
              <w:rPr>
                <w:rFonts w:ascii="Times New Roman" w:hAnsi="Times New Roman"/>
                <w:b/>
              </w:rPr>
            </w:pPr>
          </w:p>
        </w:tc>
      </w:tr>
      <w:tr w:rsidR="005E68D4" w:rsidRPr="00E0571E" w:rsidTr="00F909A9">
        <w:trPr>
          <w:trHeight w:val="704"/>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4.9. Доля совместителей из числа действующих работников профильных организаций от общего числа преподавателей</w:t>
            </w:r>
          </w:p>
        </w:tc>
        <w:tc>
          <w:tcPr>
            <w:tcW w:w="1417"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Default="005E68D4" w:rsidP="005E68D4">
            <w:pPr>
              <w:jc w:val="center"/>
              <w:rPr>
                <w:rFonts w:ascii="Times New Roman" w:hAnsi="Times New Roman"/>
                <w:b/>
              </w:rPr>
            </w:pPr>
            <w:r>
              <w:rPr>
                <w:rFonts w:ascii="Times New Roman" w:hAnsi="Times New Roman"/>
                <w:b/>
              </w:rPr>
              <w:t>___ %</w:t>
            </w:r>
          </w:p>
        </w:tc>
        <w:tc>
          <w:tcPr>
            <w:tcW w:w="3118" w:type="dxa"/>
          </w:tcPr>
          <w:p w:rsidR="005E68D4" w:rsidRDefault="005E68D4" w:rsidP="00F40E74">
            <w:pPr>
              <w:jc w:val="center"/>
              <w:rPr>
                <w:rFonts w:ascii="Times New Roman" w:hAnsi="Times New Roman"/>
                <w:b/>
              </w:rPr>
            </w:pPr>
          </w:p>
        </w:tc>
      </w:tr>
      <w:tr w:rsidR="005E68D4" w:rsidRPr="00E0571E" w:rsidTr="00F909A9">
        <w:trPr>
          <w:trHeight w:val="693"/>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4.10. Наличие действующих документов, отражающих политику организации в области формирования и развития кадрового резерва образовательной программы</w:t>
            </w:r>
          </w:p>
        </w:tc>
        <w:tc>
          <w:tcPr>
            <w:tcW w:w="1417" w:type="dxa"/>
            <w:vAlign w:val="center"/>
          </w:tcPr>
          <w:p w:rsidR="005E68D4" w:rsidRPr="00E152A4" w:rsidRDefault="005E68D4" w:rsidP="00F40E7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1418" w:type="dxa"/>
            <w:vAlign w:val="center"/>
          </w:tcPr>
          <w:p w:rsidR="005E68D4" w:rsidRPr="00E152A4" w:rsidRDefault="005E68D4" w:rsidP="00F40E7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3118" w:type="dxa"/>
          </w:tcPr>
          <w:p w:rsidR="005E68D4" w:rsidRDefault="005E68D4" w:rsidP="00F40E74">
            <w:pPr>
              <w:jc w:val="center"/>
              <w:rPr>
                <w:rFonts w:ascii="Times New Roman" w:hAnsi="Times New Roman"/>
                <w:b/>
              </w:rPr>
            </w:pPr>
          </w:p>
        </w:tc>
      </w:tr>
      <w:tr w:rsidR="005E68D4" w:rsidRPr="00E0571E" w:rsidTr="00F909A9">
        <w:trPr>
          <w:trHeight w:val="840"/>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4.11. Наличие системы ключевых показателей эффективности педагогических работников, связанных с результатами оценки квалификации выпускников</w:t>
            </w:r>
          </w:p>
        </w:tc>
        <w:tc>
          <w:tcPr>
            <w:tcW w:w="1417" w:type="dxa"/>
            <w:vAlign w:val="center"/>
          </w:tcPr>
          <w:p w:rsidR="005E68D4" w:rsidRPr="00E152A4" w:rsidRDefault="005E68D4" w:rsidP="00F40E7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1418" w:type="dxa"/>
            <w:vAlign w:val="center"/>
          </w:tcPr>
          <w:p w:rsidR="005E68D4" w:rsidRPr="00E152A4" w:rsidRDefault="005E68D4" w:rsidP="00F40E7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3118" w:type="dxa"/>
          </w:tcPr>
          <w:p w:rsidR="005E68D4" w:rsidRDefault="005E68D4" w:rsidP="00F40E74">
            <w:pPr>
              <w:jc w:val="center"/>
              <w:rPr>
                <w:rFonts w:ascii="Times New Roman" w:hAnsi="Times New Roman"/>
                <w:b/>
              </w:rPr>
            </w:pPr>
          </w:p>
        </w:tc>
      </w:tr>
      <w:tr w:rsidR="005E68D4" w:rsidRPr="00E0571E" w:rsidTr="00F909A9">
        <w:trPr>
          <w:trHeight w:val="693"/>
        </w:trPr>
        <w:tc>
          <w:tcPr>
            <w:tcW w:w="3388" w:type="dxa"/>
            <w:vMerge w:val="restart"/>
            <w:shd w:val="clear" w:color="auto" w:fill="auto"/>
          </w:tcPr>
          <w:p w:rsidR="005E68D4" w:rsidRPr="008A50D7" w:rsidRDefault="005E68D4" w:rsidP="008A50D7">
            <w:pPr>
              <w:ind w:left="-5"/>
              <w:rPr>
                <w:rFonts w:ascii="Times New Roman" w:hAnsi="Times New Roman"/>
              </w:rPr>
            </w:pPr>
            <w:r w:rsidRPr="008A50D7">
              <w:rPr>
                <w:rFonts w:ascii="Times New Roman" w:hAnsi="Times New Roman"/>
              </w:rPr>
              <w:t>5. Наличие спроса на образовательную программу, востребованность выпускников профессиональной образовательной программы работодателями</w:t>
            </w: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5.1. Доля выпускников образовательной программы, обучавшихся на основании договоров об образовании за счет средств юридических лиц, заключенных между образовательной организацией и работодателями за последние три года до аккредитационной экспертизы</w:t>
            </w:r>
          </w:p>
        </w:tc>
        <w:tc>
          <w:tcPr>
            <w:tcW w:w="1417" w:type="dxa"/>
            <w:vAlign w:val="center"/>
          </w:tcPr>
          <w:p w:rsidR="005E68D4" w:rsidRPr="00B335AC" w:rsidRDefault="005E68D4" w:rsidP="005E68D4">
            <w:pPr>
              <w:jc w:val="center"/>
              <w:rPr>
                <w:rFonts w:ascii="Times New Roman" w:hAnsi="Times New Roman"/>
                <w:b/>
              </w:rPr>
            </w:pPr>
            <w:r>
              <w:rPr>
                <w:rFonts w:ascii="Times New Roman" w:hAnsi="Times New Roman"/>
                <w:b/>
              </w:rPr>
              <w:t>___ %</w:t>
            </w:r>
          </w:p>
        </w:tc>
        <w:tc>
          <w:tcPr>
            <w:tcW w:w="1418" w:type="dxa"/>
            <w:vAlign w:val="center"/>
          </w:tcPr>
          <w:p w:rsidR="005E68D4" w:rsidRPr="00B335AC" w:rsidRDefault="005E68D4" w:rsidP="005E68D4">
            <w:pPr>
              <w:jc w:val="center"/>
              <w:rPr>
                <w:rFonts w:ascii="Times New Roman" w:hAnsi="Times New Roman"/>
                <w:b/>
              </w:rPr>
            </w:pPr>
            <w:r>
              <w:rPr>
                <w:rFonts w:ascii="Times New Roman" w:hAnsi="Times New Roman"/>
                <w:b/>
              </w:rPr>
              <w:t>___ %</w:t>
            </w:r>
          </w:p>
        </w:tc>
        <w:tc>
          <w:tcPr>
            <w:tcW w:w="3118" w:type="dxa"/>
          </w:tcPr>
          <w:p w:rsidR="005E68D4" w:rsidRPr="00B335AC" w:rsidRDefault="005E68D4" w:rsidP="00F40E74">
            <w:pPr>
              <w:jc w:val="center"/>
              <w:rPr>
                <w:rFonts w:ascii="Times New Roman" w:hAnsi="Times New Roman"/>
                <w:b/>
              </w:rPr>
            </w:pPr>
          </w:p>
        </w:tc>
      </w:tr>
      <w:tr w:rsidR="005E68D4" w:rsidRPr="00E0571E" w:rsidTr="00F909A9">
        <w:trPr>
          <w:trHeight w:val="1152"/>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5.2. Доля обучающихся по образовательной программе лиц, трудоустроившихся по итогам прохождения практики или стажировки в те организации, в которых проходили практику, стажировку за последние три года до аккредитационной экспертизы</w:t>
            </w:r>
          </w:p>
        </w:tc>
        <w:tc>
          <w:tcPr>
            <w:tcW w:w="1417" w:type="dxa"/>
            <w:vAlign w:val="center"/>
          </w:tcPr>
          <w:p w:rsidR="005E68D4" w:rsidRPr="00B335AC" w:rsidRDefault="005E68D4" w:rsidP="005E68D4">
            <w:pPr>
              <w:tabs>
                <w:tab w:val="left" w:pos="1559"/>
              </w:tabs>
              <w:autoSpaceDE w:val="0"/>
              <w:jc w:val="center"/>
              <w:rPr>
                <w:rFonts w:ascii="Times New Roman" w:hAnsi="Times New Roman"/>
                <w:b/>
              </w:rPr>
            </w:pPr>
            <w:r>
              <w:rPr>
                <w:rFonts w:ascii="Times New Roman" w:hAnsi="Times New Roman"/>
                <w:b/>
              </w:rPr>
              <w:t>___ %</w:t>
            </w:r>
          </w:p>
        </w:tc>
        <w:tc>
          <w:tcPr>
            <w:tcW w:w="1418" w:type="dxa"/>
            <w:vAlign w:val="center"/>
          </w:tcPr>
          <w:p w:rsidR="005E68D4" w:rsidRPr="00B335AC" w:rsidRDefault="005E68D4" w:rsidP="005E68D4">
            <w:pPr>
              <w:tabs>
                <w:tab w:val="left" w:pos="1559"/>
              </w:tabs>
              <w:autoSpaceDE w:val="0"/>
              <w:jc w:val="center"/>
              <w:rPr>
                <w:rFonts w:ascii="Times New Roman" w:hAnsi="Times New Roman"/>
                <w:b/>
              </w:rPr>
            </w:pPr>
            <w:r>
              <w:rPr>
                <w:rFonts w:ascii="Times New Roman" w:hAnsi="Times New Roman"/>
                <w:b/>
              </w:rPr>
              <w:t>___ %</w:t>
            </w:r>
          </w:p>
        </w:tc>
        <w:tc>
          <w:tcPr>
            <w:tcW w:w="3118" w:type="dxa"/>
          </w:tcPr>
          <w:p w:rsidR="005E68D4" w:rsidRPr="00B335AC" w:rsidRDefault="005E68D4" w:rsidP="00F40E74">
            <w:pPr>
              <w:tabs>
                <w:tab w:val="left" w:pos="1559"/>
              </w:tabs>
              <w:autoSpaceDE w:val="0"/>
              <w:jc w:val="center"/>
              <w:rPr>
                <w:rFonts w:ascii="Times New Roman" w:hAnsi="Times New Roman"/>
                <w:b/>
              </w:rPr>
            </w:pPr>
          </w:p>
        </w:tc>
      </w:tr>
      <w:tr w:rsidR="005E68D4" w:rsidRPr="00E0571E" w:rsidTr="00F909A9">
        <w:trPr>
          <w:trHeight w:val="977"/>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5.3. Наличие информации, подтверждающей закрепляемость на рабочем месте (в соответствии с освоенными в рамках аккредитуемой образовательной программы компетенциями) и карьерный рост выпускников за последние три года до аккредитационной экспертизы</w:t>
            </w:r>
          </w:p>
        </w:tc>
        <w:tc>
          <w:tcPr>
            <w:tcW w:w="1417" w:type="dxa"/>
            <w:vAlign w:val="center"/>
          </w:tcPr>
          <w:p w:rsidR="005E68D4" w:rsidRPr="00E152A4" w:rsidRDefault="005E68D4" w:rsidP="005E68D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1418" w:type="dxa"/>
            <w:vAlign w:val="center"/>
          </w:tcPr>
          <w:p w:rsidR="005E68D4" w:rsidRPr="00E152A4" w:rsidRDefault="005E68D4" w:rsidP="005E68D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3118" w:type="dxa"/>
          </w:tcPr>
          <w:p w:rsidR="005E68D4" w:rsidRPr="00E152A4" w:rsidRDefault="005E68D4" w:rsidP="00F40E74">
            <w:pPr>
              <w:tabs>
                <w:tab w:val="left" w:pos="1559"/>
              </w:tabs>
              <w:autoSpaceDE w:val="0"/>
              <w:jc w:val="center"/>
              <w:rPr>
                <w:rFonts w:ascii="Times New Roman" w:hAnsi="Times New Roman"/>
                <w:b/>
              </w:rPr>
            </w:pPr>
          </w:p>
        </w:tc>
      </w:tr>
      <w:tr w:rsidR="005E68D4" w:rsidRPr="00E0571E" w:rsidTr="00F909A9">
        <w:trPr>
          <w:trHeight w:val="1180"/>
        </w:trPr>
        <w:tc>
          <w:tcPr>
            <w:tcW w:w="3388" w:type="dxa"/>
            <w:vMerge/>
            <w:shd w:val="clear" w:color="auto" w:fill="auto"/>
          </w:tcPr>
          <w:p w:rsidR="005E68D4" w:rsidRPr="00E0571E" w:rsidRDefault="005E68D4" w:rsidP="008A50D7">
            <w:pPr>
              <w:ind w:left="-5"/>
              <w:rPr>
                <w:rFonts w:ascii="Times New Roman" w:hAnsi="Times New Roman"/>
              </w:rPr>
            </w:pP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 xml:space="preserve">5.4. Наличие документов, содержащих позитивную информацию от работодателей об </w:t>
            </w:r>
            <w:r w:rsidRPr="009B7F57">
              <w:rPr>
                <w:rFonts w:ascii="Times New Roman" w:hAnsi="Times New Roman"/>
              </w:rPr>
              <w:drawing>
                <wp:inline distT="0" distB="0" distL="0" distR="0">
                  <wp:extent cx="12065" cy="12065"/>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5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r w:rsidRPr="009B7F57">
              <w:rPr>
                <w:rFonts w:ascii="Times New Roman" w:hAnsi="Times New Roman"/>
              </w:rPr>
              <w:t>эффективности и качестве работы выпускников, освоивших аккредитуемую образовательную программу за последние три года до аккредитационной экспертизы</w:t>
            </w:r>
          </w:p>
        </w:tc>
        <w:tc>
          <w:tcPr>
            <w:tcW w:w="1417" w:type="dxa"/>
            <w:vAlign w:val="center"/>
          </w:tcPr>
          <w:p w:rsidR="005E68D4" w:rsidRPr="00E152A4" w:rsidRDefault="005E68D4" w:rsidP="005E68D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1418" w:type="dxa"/>
            <w:vAlign w:val="center"/>
          </w:tcPr>
          <w:p w:rsidR="005E68D4" w:rsidRPr="00E152A4" w:rsidRDefault="005E68D4" w:rsidP="005E68D4">
            <w:pPr>
              <w:tabs>
                <w:tab w:val="left" w:pos="1559"/>
              </w:tabs>
              <w:autoSpaceDE w:val="0"/>
              <w:jc w:val="center"/>
              <w:rPr>
                <w:rFonts w:ascii="Times New Roman" w:hAnsi="Times New Roman"/>
                <w:b/>
              </w:rPr>
            </w:pPr>
            <w:r w:rsidRPr="004B4035">
              <w:rPr>
                <w:rFonts w:ascii="Times New Roman" w:hAnsi="Times New Roman" w:cs="Times New Roman"/>
                <w:noProof/>
              </w:rPr>
              <w:t>да/нет</w:t>
            </w:r>
          </w:p>
        </w:tc>
        <w:tc>
          <w:tcPr>
            <w:tcW w:w="3118" w:type="dxa"/>
          </w:tcPr>
          <w:p w:rsidR="005E68D4" w:rsidRPr="00E152A4" w:rsidRDefault="005E68D4" w:rsidP="00F40E74">
            <w:pPr>
              <w:tabs>
                <w:tab w:val="left" w:pos="1559"/>
              </w:tabs>
              <w:autoSpaceDE w:val="0"/>
              <w:jc w:val="center"/>
              <w:rPr>
                <w:rFonts w:ascii="Times New Roman" w:hAnsi="Times New Roman"/>
                <w:b/>
              </w:rPr>
            </w:pPr>
          </w:p>
        </w:tc>
      </w:tr>
      <w:tr w:rsidR="005E68D4" w:rsidRPr="00E0571E" w:rsidTr="00F909A9">
        <w:trPr>
          <w:trHeight w:val="3817"/>
        </w:trPr>
        <w:tc>
          <w:tcPr>
            <w:tcW w:w="3388" w:type="dxa"/>
            <w:shd w:val="clear" w:color="auto" w:fill="auto"/>
          </w:tcPr>
          <w:p w:rsidR="005E68D4" w:rsidRPr="008A50D7" w:rsidRDefault="005E68D4" w:rsidP="008A50D7">
            <w:pPr>
              <w:ind w:left="-5"/>
              <w:rPr>
                <w:rFonts w:ascii="Times New Roman" w:hAnsi="Times New Roman"/>
              </w:rPr>
            </w:pPr>
            <w:r w:rsidRPr="008A50D7">
              <w:rPr>
                <w:rFonts w:ascii="Times New Roman" w:hAnsi="Times New Roman"/>
              </w:rPr>
              <w:t>6. Подтвержденное участие работодателей:</w:t>
            </w:r>
          </w:p>
          <w:p w:rsidR="005E68D4" w:rsidRPr="008A50D7" w:rsidRDefault="005E68D4" w:rsidP="008A50D7">
            <w:pPr>
              <w:ind w:left="-5"/>
              <w:rPr>
                <w:rFonts w:ascii="Times New Roman" w:hAnsi="Times New Roman"/>
              </w:rPr>
            </w:pPr>
            <w:r w:rsidRPr="008A50D7">
              <w:rPr>
                <w:rFonts w:ascii="Times New Roman" w:hAnsi="Times New Roman"/>
              </w:rPr>
              <w:t>- в проектировании образовательной программы, включая планируемые результаты ее освоения, оценочные материалы, учебные планы, рабочие программы;</w:t>
            </w:r>
          </w:p>
          <w:p w:rsidR="005E68D4" w:rsidRPr="008A50D7" w:rsidRDefault="005E68D4" w:rsidP="008A50D7">
            <w:pPr>
              <w:ind w:left="-5"/>
              <w:rPr>
                <w:rFonts w:ascii="Times New Roman" w:hAnsi="Times New Roman"/>
              </w:rPr>
            </w:pPr>
            <w:r w:rsidRPr="008A50D7">
              <w:rPr>
                <w:rFonts w:ascii="Times New Roman" w:hAnsi="Times New Roman"/>
              </w:rPr>
              <w:t>- в организации проектной работы обучающихся;</w:t>
            </w:r>
          </w:p>
          <w:p w:rsidR="005E68D4" w:rsidRPr="008A50D7" w:rsidRDefault="005E68D4" w:rsidP="008A50D7">
            <w:pPr>
              <w:ind w:left="-5"/>
              <w:rPr>
                <w:rFonts w:ascii="Times New Roman" w:hAnsi="Times New Roman"/>
              </w:rPr>
            </w:pPr>
            <w:r w:rsidRPr="008A50D7">
              <w:rPr>
                <w:rFonts w:ascii="Times New Roman" w:hAnsi="Times New Roman"/>
              </w:rPr>
              <w:t>- в разработке и реализации программ практики, формировании планируемых результатов их прохождения;</w:t>
            </w:r>
          </w:p>
          <w:p w:rsidR="005E68D4" w:rsidRPr="008A50D7" w:rsidRDefault="005E68D4" w:rsidP="008A50D7">
            <w:pPr>
              <w:pStyle w:val="ConsPlusTitle"/>
              <w:widowControl w:val="0"/>
              <w:suppressAutoHyphens w:val="0"/>
              <w:ind w:left="-5"/>
              <w:rPr>
                <w:rFonts w:eastAsia="Arial Unicode MS" w:cs="Arial Unicode MS"/>
                <w:b w:val="0"/>
                <w:bCs w:val="0"/>
                <w:color w:val="000000"/>
                <w:kern w:val="0"/>
                <w:sz w:val="24"/>
                <w:szCs w:val="24"/>
                <w:lang w:eastAsia="ru-RU" w:bidi="ru-RU"/>
              </w:rPr>
            </w:pPr>
            <w:r w:rsidRPr="008A50D7">
              <w:rPr>
                <w:rFonts w:eastAsia="Arial Unicode MS" w:cs="Arial Unicode MS"/>
                <w:b w:val="0"/>
                <w:bCs w:val="0"/>
                <w:color w:val="000000"/>
                <w:kern w:val="0"/>
                <w:sz w:val="24"/>
                <w:szCs w:val="24"/>
                <w:lang w:eastAsia="ru-RU" w:bidi="ru-RU"/>
              </w:rPr>
              <w:t>- в разработке тем выпускных квалификационных работ, значимых для соответствующих областей профессиональной деятельности.</w:t>
            </w:r>
          </w:p>
        </w:tc>
        <w:tc>
          <w:tcPr>
            <w:tcW w:w="6379" w:type="dxa"/>
            <w:shd w:val="clear" w:color="auto" w:fill="auto"/>
          </w:tcPr>
          <w:p w:rsidR="005E68D4" w:rsidRPr="009B7F57" w:rsidRDefault="005E68D4" w:rsidP="00F40E74">
            <w:pPr>
              <w:rPr>
                <w:rFonts w:ascii="Times New Roman" w:hAnsi="Times New Roman"/>
              </w:rPr>
            </w:pPr>
            <w:r w:rsidRPr="009B7F57">
              <w:rPr>
                <w:rFonts w:ascii="Times New Roman" w:hAnsi="Times New Roman"/>
              </w:rPr>
              <w:t xml:space="preserve">6.1. Доля рабочих программ профильных учебных предметов, курсов, дисциплин (модулей), оценочных материалов, в проектировании и (или) экспертизе которых участвовали эксперты (экспертные организации) объединений работодателей, советов по профессиональным квалификациям, крупных и средних компаний, от общего числа составляющих профессиональную образовательную программу рабочих программ, учебных предметов, курсов, дисциплин (модулей) </w:t>
            </w:r>
          </w:p>
          <w:p w:rsidR="005E68D4" w:rsidRPr="009B7F57" w:rsidRDefault="005E68D4" w:rsidP="00F40E74">
            <w:pPr>
              <w:rPr>
                <w:rFonts w:ascii="Times New Roman" w:hAnsi="Times New Roman"/>
              </w:rPr>
            </w:pPr>
          </w:p>
        </w:tc>
        <w:tc>
          <w:tcPr>
            <w:tcW w:w="1417" w:type="dxa"/>
            <w:vAlign w:val="center"/>
          </w:tcPr>
          <w:p w:rsidR="005E68D4" w:rsidRPr="00A80316" w:rsidRDefault="005E68D4" w:rsidP="005E68D4">
            <w:pPr>
              <w:jc w:val="center"/>
              <w:rPr>
                <w:rFonts w:ascii="Times New Roman" w:hAnsi="Times New Roman"/>
                <w:b/>
              </w:rPr>
            </w:pPr>
            <w:r w:rsidRPr="004B4035">
              <w:rPr>
                <w:rFonts w:ascii="Times New Roman" w:hAnsi="Times New Roman" w:cs="Times New Roman"/>
                <w:noProof/>
              </w:rPr>
              <w:t>70%</w:t>
            </w:r>
          </w:p>
        </w:tc>
        <w:tc>
          <w:tcPr>
            <w:tcW w:w="1418" w:type="dxa"/>
            <w:vAlign w:val="center"/>
          </w:tcPr>
          <w:p w:rsidR="005E68D4" w:rsidRPr="00A80316" w:rsidRDefault="005E68D4" w:rsidP="005E68D4">
            <w:pPr>
              <w:jc w:val="center"/>
              <w:rPr>
                <w:rFonts w:ascii="Times New Roman" w:hAnsi="Times New Roman"/>
                <w:b/>
              </w:rPr>
            </w:pPr>
            <w:r w:rsidRPr="004B4035">
              <w:rPr>
                <w:rFonts w:ascii="Times New Roman" w:hAnsi="Times New Roman" w:cs="Times New Roman"/>
                <w:noProof/>
              </w:rPr>
              <w:t>70%</w:t>
            </w:r>
          </w:p>
        </w:tc>
        <w:tc>
          <w:tcPr>
            <w:tcW w:w="3118" w:type="dxa"/>
          </w:tcPr>
          <w:p w:rsidR="005E68D4" w:rsidRPr="00A80316" w:rsidRDefault="005E68D4" w:rsidP="00F40E74">
            <w:pPr>
              <w:jc w:val="center"/>
              <w:rPr>
                <w:rFonts w:ascii="Times New Roman" w:hAnsi="Times New Roman"/>
                <w:b/>
              </w:rPr>
            </w:pPr>
          </w:p>
        </w:tc>
      </w:tr>
      <w:tr w:rsidR="008B258F" w:rsidRPr="00E0571E" w:rsidTr="00F40E74">
        <w:trPr>
          <w:trHeight w:val="583"/>
        </w:trPr>
        <w:tc>
          <w:tcPr>
            <w:tcW w:w="9767" w:type="dxa"/>
            <w:gridSpan w:val="2"/>
            <w:shd w:val="clear" w:color="auto" w:fill="auto"/>
            <w:vAlign w:val="center"/>
          </w:tcPr>
          <w:p w:rsidR="008B258F" w:rsidRPr="008B258F" w:rsidRDefault="008B258F" w:rsidP="008B258F">
            <w:pPr>
              <w:jc w:val="center"/>
              <w:rPr>
                <w:rFonts w:ascii="Times New Roman" w:hAnsi="Times New Roman"/>
                <w:b/>
              </w:rPr>
            </w:pPr>
            <w:r w:rsidRPr="008B258F">
              <w:rPr>
                <w:rFonts w:ascii="Times New Roman" w:hAnsi="Times New Roman"/>
                <w:b/>
              </w:rPr>
              <w:t>Итого рейтинг образовательной программы по оценке эксперта составил:</w:t>
            </w:r>
          </w:p>
        </w:tc>
        <w:tc>
          <w:tcPr>
            <w:tcW w:w="1417" w:type="dxa"/>
            <w:vAlign w:val="center"/>
          </w:tcPr>
          <w:p w:rsidR="008B258F" w:rsidRPr="008B258F" w:rsidRDefault="008B258F" w:rsidP="008B258F">
            <w:pPr>
              <w:jc w:val="center"/>
              <w:rPr>
                <w:rFonts w:ascii="Times New Roman" w:hAnsi="Times New Roman" w:cs="Times New Roman"/>
                <w:b/>
                <w:noProof/>
              </w:rPr>
            </w:pPr>
          </w:p>
        </w:tc>
        <w:tc>
          <w:tcPr>
            <w:tcW w:w="1418" w:type="dxa"/>
            <w:vAlign w:val="center"/>
          </w:tcPr>
          <w:p w:rsidR="008B258F" w:rsidRPr="008B258F" w:rsidRDefault="008B258F" w:rsidP="008B258F">
            <w:pPr>
              <w:jc w:val="center"/>
              <w:rPr>
                <w:rFonts w:ascii="Times New Roman" w:hAnsi="Times New Roman" w:cs="Times New Roman"/>
                <w:b/>
                <w:noProof/>
              </w:rPr>
            </w:pPr>
            <w:r>
              <w:rPr>
                <w:rFonts w:ascii="Times New Roman" w:hAnsi="Times New Roman" w:cs="Times New Roman"/>
                <w:b/>
                <w:noProof/>
              </w:rPr>
              <w:t>6,0</w:t>
            </w:r>
          </w:p>
        </w:tc>
        <w:tc>
          <w:tcPr>
            <w:tcW w:w="3118" w:type="dxa"/>
            <w:vAlign w:val="center"/>
          </w:tcPr>
          <w:p w:rsidR="008B258F" w:rsidRPr="00A80316" w:rsidRDefault="008B258F" w:rsidP="008B258F">
            <w:pPr>
              <w:jc w:val="center"/>
              <w:rPr>
                <w:rFonts w:ascii="Times New Roman" w:hAnsi="Times New Roman"/>
                <w:b/>
              </w:rPr>
            </w:pPr>
          </w:p>
        </w:tc>
      </w:tr>
    </w:tbl>
    <w:p w:rsidR="00C205F6" w:rsidRDefault="00C205F6" w:rsidP="00121812">
      <w:pPr>
        <w:pStyle w:val="20"/>
        <w:shd w:val="clear" w:color="auto" w:fill="auto"/>
        <w:spacing w:before="0" w:after="0" w:line="240" w:lineRule="auto"/>
        <w:rPr>
          <w:b/>
          <w:sz w:val="24"/>
          <w:szCs w:val="24"/>
        </w:rPr>
      </w:pPr>
    </w:p>
    <w:p w:rsidR="00F11548" w:rsidRDefault="00F11548" w:rsidP="00F11548">
      <w:pPr>
        <w:rPr>
          <w:b/>
        </w:rPr>
      </w:pPr>
      <w:r>
        <w:rPr>
          <w:b/>
        </w:rPr>
        <w:br w:type="page"/>
      </w:r>
    </w:p>
    <w:p w:rsidR="00F11548" w:rsidRDefault="00F11548" w:rsidP="00121812">
      <w:pPr>
        <w:pStyle w:val="20"/>
        <w:shd w:val="clear" w:color="auto" w:fill="auto"/>
        <w:spacing w:before="0" w:after="0" w:line="240" w:lineRule="auto"/>
        <w:rPr>
          <w:b/>
          <w:sz w:val="24"/>
          <w:szCs w:val="24"/>
        </w:rPr>
        <w:sectPr w:rsidR="00F11548" w:rsidSect="003D0961">
          <w:pgSz w:w="16840" w:h="11900" w:orient="landscape"/>
          <w:pgMar w:top="1418" w:right="1418" w:bottom="567" w:left="567" w:header="0" w:footer="6" w:gutter="0"/>
          <w:cols w:space="720"/>
          <w:noEndnote/>
          <w:docGrid w:linePitch="360"/>
        </w:sectPr>
      </w:pPr>
    </w:p>
    <w:p w:rsidR="00F11548" w:rsidRDefault="00F11548" w:rsidP="00121812">
      <w:pPr>
        <w:pStyle w:val="20"/>
        <w:shd w:val="clear" w:color="auto" w:fill="auto"/>
        <w:spacing w:before="0" w:after="0" w:line="240" w:lineRule="auto"/>
        <w:rPr>
          <w:b/>
          <w:sz w:val="24"/>
          <w:szCs w:val="24"/>
        </w:rPr>
      </w:pPr>
    </w:p>
    <w:p w:rsidR="00F11548" w:rsidRDefault="00F11548" w:rsidP="00121812">
      <w:pPr>
        <w:pStyle w:val="20"/>
        <w:shd w:val="clear" w:color="auto" w:fill="auto"/>
        <w:spacing w:before="0" w:after="0" w:line="240" w:lineRule="auto"/>
        <w:rPr>
          <w:b/>
          <w:sz w:val="24"/>
          <w:szCs w:val="24"/>
        </w:rPr>
      </w:pPr>
    </w:p>
    <w:p w:rsidR="00F11548" w:rsidRDefault="00F11548" w:rsidP="00121812">
      <w:pPr>
        <w:pStyle w:val="20"/>
        <w:shd w:val="clear" w:color="auto" w:fill="auto"/>
        <w:spacing w:before="0" w:after="0" w:line="240" w:lineRule="auto"/>
        <w:rPr>
          <w:b/>
          <w:sz w:val="24"/>
          <w:szCs w:val="24"/>
        </w:rPr>
      </w:pPr>
    </w:p>
    <w:p w:rsidR="007419B4" w:rsidRDefault="00121812" w:rsidP="00121812">
      <w:pPr>
        <w:pStyle w:val="20"/>
        <w:shd w:val="clear" w:color="auto" w:fill="auto"/>
        <w:spacing w:before="0" w:after="0" w:line="240" w:lineRule="auto"/>
        <w:rPr>
          <w:b/>
        </w:rPr>
      </w:pPr>
      <w:r w:rsidRPr="007419B4">
        <w:rPr>
          <w:b/>
        </w:rPr>
        <w:t>Итоговое заключение эксперта</w:t>
      </w:r>
      <w:r w:rsidR="00F11548" w:rsidRPr="007419B4">
        <w:rPr>
          <w:b/>
        </w:rPr>
        <w:t xml:space="preserve"> </w:t>
      </w:r>
    </w:p>
    <w:p w:rsidR="00121812" w:rsidRPr="007419B4" w:rsidRDefault="007419B4" w:rsidP="00121812">
      <w:pPr>
        <w:pStyle w:val="20"/>
        <w:shd w:val="clear" w:color="auto" w:fill="auto"/>
        <w:spacing w:before="0" w:after="0" w:line="240" w:lineRule="auto"/>
        <w:rPr>
          <w:i/>
        </w:rPr>
      </w:pPr>
      <w:r w:rsidRPr="007419B4">
        <w:rPr>
          <w:i/>
        </w:rPr>
        <w:t>(</w:t>
      </w:r>
      <w:r w:rsidR="00F11548" w:rsidRPr="007419B4">
        <w:rPr>
          <w:i/>
        </w:rPr>
        <w:t>с учетом оценки степени применения в процессе обучения эффективных образовательных технологий, основанных на модульно-компетентностных подходах, проектном управлении, имитационных технологиях обучения и т.д.</w:t>
      </w:r>
      <w:r w:rsidRPr="007419B4">
        <w:rPr>
          <w:i/>
        </w:rPr>
        <w:t>)</w:t>
      </w:r>
    </w:p>
    <w:p w:rsidR="00121812" w:rsidRPr="007419B4" w:rsidRDefault="00121812" w:rsidP="00121812">
      <w:pPr>
        <w:pStyle w:val="20"/>
        <w:shd w:val="clear" w:color="auto" w:fill="auto"/>
        <w:spacing w:before="0" w:after="0" w:line="240" w:lineRule="auto"/>
      </w:pPr>
      <w:r w:rsidRPr="007419B4">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19B4">
        <w:t>____________________________</w:t>
      </w:r>
      <w:r w:rsidRPr="007419B4">
        <w:t xml:space="preserve">__ </w:t>
      </w:r>
    </w:p>
    <w:p w:rsidR="00121812" w:rsidRPr="007419B4" w:rsidRDefault="00121812" w:rsidP="00121812">
      <w:pPr>
        <w:pStyle w:val="20"/>
        <w:shd w:val="clear" w:color="auto" w:fill="auto"/>
        <w:spacing w:before="0" w:after="0" w:line="240" w:lineRule="auto"/>
      </w:pPr>
    </w:p>
    <w:p w:rsidR="00121812" w:rsidRPr="007419B4" w:rsidRDefault="00121812" w:rsidP="00121812">
      <w:pPr>
        <w:pStyle w:val="20"/>
        <w:shd w:val="clear" w:color="auto" w:fill="auto"/>
        <w:spacing w:before="0" w:after="0" w:line="240" w:lineRule="auto"/>
      </w:pPr>
    </w:p>
    <w:p w:rsidR="00121812" w:rsidRPr="007419B4" w:rsidRDefault="00121812" w:rsidP="00121812">
      <w:pPr>
        <w:pStyle w:val="20"/>
        <w:shd w:val="clear" w:color="auto" w:fill="auto"/>
        <w:spacing w:before="0" w:after="0" w:line="240" w:lineRule="auto"/>
      </w:pPr>
    </w:p>
    <w:p w:rsidR="00121812" w:rsidRPr="007419B4" w:rsidRDefault="007419B4" w:rsidP="00121812">
      <w:pPr>
        <w:pStyle w:val="20"/>
        <w:shd w:val="clear" w:color="auto" w:fill="auto"/>
        <w:spacing w:before="0" w:after="0" w:line="240" w:lineRule="auto"/>
      </w:pPr>
      <w:r w:rsidRPr="007419B4">
        <w:t>Эксперт  ______________________    /______________________/</w:t>
      </w:r>
    </w:p>
    <w:p w:rsidR="007419B4" w:rsidRPr="007419B4" w:rsidRDefault="007419B4" w:rsidP="00121812">
      <w:pPr>
        <w:pStyle w:val="20"/>
        <w:shd w:val="clear" w:color="auto" w:fill="auto"/>
        <w:spacing w:before="0" w:after="0" w:line="240" w:lineRule="auto"/>
      </w:pPr>
      <w:r w:rsidRPr="007419B4">
        <w:t xml:space="preserve">                              </w:t>
      </w:r>
      <w:r w:rsidR="00121812" w:rsidRPr="007419B4">
        <w:t>Подпись</w:t>
      </w:r>
      <w:r w:rsidRPr="007419B4">
        <w:tab/>
      </w:r>
      <w:r w:rsidRPr="007419B4">
        <w:tab/>
      </w:r>
      <w:r w:rsidRPr="007419B4">
        <w:tab/>
      </w:r>
      <w:r w:rsidRPr="007419B4">
        <w:tab/>
        <w:t>ФИО</w:t>
      </w:r>
    </w:p>
    <w:p w:rsidR="00121812" w:rsidRPr="007419B4" w:rsidRDefault="003868FC" w:rsidP="00121812">
      <w:pPr>
        <w:pStyle w:val="20"/>
        <w:shd w:val="clear" w:color="auto" w:fill="auto"/>
        <w:spacing w:before="0" w:after="0" w:line="240" w:lineRule="auto"/>
      </w:pPr>
      <w:r w:rsidRPr="007419B4">
        <w:t xml:space="preserve"> </w:t>
      </w:r>
    </w:p>
    <w:p w:rsidR="00121812" w:rsidRPr="007419B4" w:rsidRDefault="00121812" w:rsidP="00121812">
      <w:pPr>
        <w:pStyle w:val="20"/>
        <w:shd w:val="clear" w:color="auto" w:fill="auto"/>
        <w:spacing w:before="0" w:after="0" w:line="240" w:lineRule="auto"/>
      </w:pPr>
    </w:p>
    <w:p w:rsidR="00121812" w:rsidRPr="007419B4" w:rsidRDefault="00121812" w:rsidP="00121812">
      <w:pPr>
        <w:pStyle w:val="20"/>
        <w:shd w:val="clear" w:color="auto" w:fill="auto"/>
        <w:spacing w:before="0" w:after="0" w:line="240" w:lineRule="auto"/>
      </w:pPr>
    </w:p>
    <w:p w:rsidR="00121812" w:rsidRPr="007419B4" w:rsidRDefault="00121812" w:rsidP="00121812">
      <w:pPr>
        <w:pStyle w:val="20"/>
        <w:shd w:val="clear" w:color="auto" w:fill="auto"/>
        <w:spacing w:before="0" w:after="0" w:line="240" w:lineRule="auto"/>
      </w:pPr>
      <w:r w:rsidRPr="007419B4">
        <w:t xml:space="preserve">Дата </w:t>
      </w:r>
      <w:r w:rsidR="003868FC" w:rsidRPr="007419B4">
        <w:t>____________</w:t>
      </w:r>
    </w:p>
    <w:p w:rsidR="00AF2DDF" w:rsidRPr="007419B4" w:rsidRDefault="00AF2DDF" w:rsidP="00121812">
      <w:pPr>
        <w:pStyle w:val="20"/>
        <w:shd w:val="clear" w:color="auto" w:fill="auto"/>
        <w:spacing w:before="0" w:after="0" w:line="240" w:lineRule="auto"/>
      </w:pPr>
    </w:p>
    <w:sectPr w:rsidR="00AF2DDF" w:rsidRPr="007419B4" w:rsidSect="007419B4">
      <w:pgSz w:w="11900" w:h="16840"/>
      <w:pgMar w:top="567" w:right="843" w:bottom="1418" w:left="56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F7E" w:rsidRDefault="00822F7E" w:rsidP="00C614CE">
      <w:r>
        <w:separator/>
      </w:r>
    </w:p>
  </w:endnote>
  <w:endnote w:type="continuationSeparator" w:id="0">
    <w:p w:rsidR="00822F7E" w:rsidRDefault="00822F7E" w:rsidP="00C61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08173"/>
      <w:docPartObj>
        <w:docPartGallery w:val="Page Numbers (Bottom of Page)"/>
        <w:docPartUnique/>
      </w:docPartObj>
    </w:sdtPr>
    <w:sdtContent>
      <w:p w:rsidR="00F40E74" w:rsidRDefault="00F40E74">
        <w:pPr>
          <w:pStyle w:val="a9"/>
          <w:jc w:val="right"/>
        </w:pPr>
        <w:fldSimple w:instr="PAGE   \* MERGEFORMAT">
          <w:r w:rsidR="001B2141">
            <w:rPr>
              <w:noProof/>
            </w:rPr>
            <w:t>2</w:t>
          </w:r>
        </w:fldSimple>
      </w:p>
    </w:sdtContent>
  </w:sdt>
  <w:p w:rsidR="00F40E74" w:rsidRDefault="00F40E7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29801"/>
      <w:docPartObj>
        <w:docPartGallery w:val="Page Numbers (Bottom of Page)"/>
        <w:docPartUnique/>
      </w:docPartObj>
    </w:sdtPr>
    <w:sdtContent>
      <w:p w:rsidR="00F40E74" w:rsidRDefault="00F40E74">
        <w:pPr>
          <w:pStyle w:val="a9"/>
          <w:jc w:val="right"/>
        </w:pPr>
        <w:fldSimple w:instr="PAGE   \* MERGEFORMAT">
          <w:r w:rsidR="001B2141">
            <w:rPr>
              <w:noProof/>
            </w:rPr>
            <w:t>1</w:t>
          </w:r>
        </w:fldSimple>
      </w:p>
    </w:sdtContent>
  </w:sdt>
  <w:p w:rsidR="00F40E74" w:rsidRDefault="00F40E7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F7E" w:rsidRDefault="00822F7E"/>
  </w:footnote>
  <w:footnote w:type="continuationSeparator" w:id="0">
    <w:p w:rsidR="00822F7E" w:rsidRDefault="00822F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DD7"/>
    <w:multiLevelType w:val="hybridMultilevel"/>
    <w:tmpl w:val="ED847EDA"/>
    <w:lvl w:ilvl="0" w:tplc="6200F8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D15253"/>
    <w:multiLevelType w:val="multilevel"/>
    <w:tmpl w:val="06B46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3210DF"/>
    <w:multiLevelType w:val="hybridMultilevel"/>
    <w:tmpl w:val="C08A05EA"/>
    <w:lvl w:ilvl="0" w:tplc="5C5CBE9A">
      <w:start w:val="1"/>
      <w:numFmt w:val="bullet"/>
      <w:lvlText w:val="-"/>
      <w:lvlJc w:val="left"/>
      <w:pPr>
        <w:ind w:left="3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5E0290">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8BA84FE">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94C67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4A606C">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DF0AD54">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61201B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063DE8">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9DE6FD8">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614CE"/>
    <w:rsid w:val="0004517A"/>
    <w:rsid w:val="000E2B6E"/>
    <w:rsid w:val="00104E2A"/>
    <w:rsid w:val="00105F47"/>
    <w:rsid w:val="00121812"/>
    <w:rsid w:val="0019614C"/>
    <w:rsid w:val="001B2141"/>
    <w:rsid w:val="002B4C22"/>
    <w:rsid w:val="002E0C1E"/>
    <w:rsid w:val="003176B0"/>
    <w:rsid w:val="0036661A"/>
    <w:rsid w:val="003868FC"/>
    <w:rsid w:val="003D0961"/>
    <w:rsid w:val="003F4140"/>
    <w:rsid w:val="004470BC"/>
    <w:rsid w:val="004A4070"/>
    <w:rsid w:val="004B4035"/>
    <w:rsid w:val="005178FF"/>
    <w:rsid w:val="00577DAE"/>
    <w:rsid w:val="005B54F4"/>
    <w:rsid w:val="005E68D4"/>
    <w:rsid w:val="006A1EF3"/>
    <w:rsid w:val="006B24F3"/>
    <w:rsid w:val="006F241B"/>
    <w:rsid w:val="00727FF6"/>
    <w:rsid w:val="007419B4"/>
    <w:rsid w:val="007D1462"/>
    <w:rsid w:val="007D2F38"/>
    <w:rsid w:val="007D6807"/>
    <w:rsid w:val="00822F7E"/>
    <w:rsid w:val="0084400D"/>
    <w:rsid w:val="00861EA9"/>
    <w:rsid w:val="008726B6"/>
    <w:rsid w:val="008A1044"/>
    <w:rsid w:val="008A50D7"/>
    <w:rsid w:val="008B258F"/>
    <w:rsid w:val="008E419D"/>
    <w:rsid w:val="009305CF"/>
    <w:rsid w:val="00983A05"/>
    <w:rsid w:val="009A105B"/>
    <w:rsid w:val="009B7F57"/>
    <w:rsid w:val="009C770C"/>
    <w:rsid w:val="00A66E07"/>
    <w:rsid w:val="00A76204"/>
    <w:rsid w:val="00AA4FBA"/>
    <w:rsid w:val="00AF2DDF"/>
    <w:rsid w:val="00C205F6"/>
    <w:rsid w:val="00C614CE"/>
    <w:rsid w:val="00CF246B"/>
    <w:rsid w:val="00D150BF"/>
    <w:rsid w:val="00DE2226"/>
    <w:rsid w:val="00E31CB2"/>
    <w:rsid w:val="00EB64E0"/>
    <w:rsid w:val="00EB7529"/>
    <w:rsid w:val="00EC7628"/>
    <w:rsid w:val="00EE1A15"/>
    <w:rsid w:val="00EF01FF"/>
    <w:rsid w:val="00F11548"/>
    <w:rsid w:val="00F40E74"/>
    <w:rsid w:val="00F574D3"/>
    <w:rsid w:val="00F65CA3"/>
    <w:rsid w:val="00F909A9"/>
    <w:rsid w:val="00FD4FD1"/>
    <w:rsid w:val="00FE5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14C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14CE"/>
    <w:rPr>
      <w:color w:val="000080"/>
      <w:u w:val="single"/>
    </w:rPr>
  </w:style>
  <w:style w:type="character" w:customStyle="1" w:styleId="3">
    <w:name w:val="Основной текст (3)_"/>
    <w:basedOn w:val="a0"/>
    <w:link w:val="30"/>
    <w:rsid w:val="00C614CE"/>
    <w:rPr>
      <w:rFonts w:ascii="Times New Roman" w:eastAsia="Times New Roman" w:hAnsi="Times New Roman" w:cs="Times New Roman"/>
      <w:b w:val="0"/>
      <w:bCs w:val="0"/>
      <w:i/>
      <w:iCs/>
      <w:smallCaps w:val="0"/>
      <w:strike w:val="0"/>
      <w:sz w:val="28"/>
      <w:szCs w:val="28"/>
      <w:u w:val="none"/>
    </w:rPr>
  </w:style>
  <w:style w:type="character" w:customStyle="1" w:styleId="2">
    <w:name w:val="Основной текст (2)_"/>
    <w:basedOn w:val="a0"/>
    <w:link w:val="20"/>
    <w:rsid w:val="00C614CE"/>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C614CE"/>
    <w:rPr>
      <w:rFonts w:ascii="Times New Roman" w:eastAsia="Times New Roman" w:hAnsi="Times New Roman" w:cs="Times New Roman"/>
      <w:b w:val="0"/>
      <w:bCs w:val="0"/>
      <w:i/>
      <w:iCs/>
      <w:smallCaps w:val="0"/>
      <w:strike w:val="0"/>
      <w:sz w:val="20"/>
      <w:szCs w:val="20"/>
      <w:u w:val="none"/>
    </w:rPr>
  </w:style>
  <w:style w:type="character" w:customStyle="1" w:styleId="29pt">
    <w:name w:val="Основной текст (2) + 9 pt;Полужирный"/>
    <w:basedOn w:val="2"/>
    <w:rsid w:val="00C614C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C614CE"/>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sid w:val="00C614CE"/>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a0"/>
    <w:link w:val="60"/>
    <w:rsid w:val="00C614CE"/>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C614CE"/>
    <w:pPr>
      <w:shd w:val="clear" w:color="auto" w:fill="FFFFFF"/>
      <w:spacing w:line="322" w:lineRule="exact"/>
      <w:jc w:val="center"/>
    </w:pPr>
    <w:rPr>
      <w:rFonts w:ascii="Times New Roman" w:eastAsia="Times New Roman" w:hAnsi="Times New Roman" w:cs="Times New Roman"/>
      <w:i/>
      <w:iCs/>
      <w:sz w:val="28"/>
      <w:szCs w:val="28"/>
    </w:rPr>
  </w:style>
  <w:style w:type="paragraph" w:customStyle="1" w:styleId="20">
    <w:name w:val="Основной текст (2)"/>
    <w:basedOn w:val="a"/>
    <w:link w:val="2"/>
    <w:rsid w:val="00C614CE"/>
    <w:pPr>
      <w:shd w:val="clear" w:color="auto" w:fill="FFFFFF"/>
      <w:spacing w:before="600" w:after="600" w:line="322" w:lineRule="exact"/>
    </w:pPr>
    <w:rPr>
      <w:rFonts w:ascii="Times New Roman" w:eastAsia="Times New Roman" w:hAnsi="Times New Roman" w:cs="Times New Roman"/>
      <w:sz w:val="28"/>
      <w:szCs w:val="28"/>
    </w:rPr>
  </w:style>
  <w:style w:type="paragraph" w:customStyle="1" w:styleId="40">
    <w:name w:val="Основной текст (4)"/>
    <w:basedOn w:val="a"/>
    <w:link w:val="4"/>
    <w:rsid w:val="00C614CE"/>
    <w:pPr>
      <w:shd w:val="clear" w:color="auto" w:fill="FFFFFF"/>
      <w:spacing w:before="60" w:after="60" w:line="0" w:lineRule="atLeast"/>
      <w:jc w:val="center"/>
    </w:pPr>
    <w:rPr>
      <w:rFonts w:ascii="Times New Roman" w:eastAsia="Times New Roman" w:hAnsi="Times New Roman" w:cs="Times New Roman"/>
      <w:i/>
      <w:iCs/>
      <w:sz w:val="20"/>
      <w:szCs w:val="20"/>
    </w:rPr>
  </w:style>
  <w:style w:type="paragraph" w:customStyle="1" w:styleId="50">
    <w:name w:val="Основной текст (5)"/>
    <w:basedOn w:val="a"/>
    <w:link w:val="5"/>
    <w:rsid w:val="00C614CE"/>
    <w:pPr>
      <w:shd w:val="clear" w:color="auto" w:fill="FFFFFF"/>
      <w:spacing w:before="480" w:line="547" w:lineRule="exact"/>
      <w:jc w:val="both"/>
    </w:pPr>
    <w:rPr>
      <w:rFonts w:ascii="Times New Roman" w:eastAsia="Times New Roman" w:hAnsi="Times New Roman" w:cs="Times New Roman"/>
    </w:rPr>
  </w:style>
  <w:style w:type="paragraph" w:customStyle="1" w:styleId="7">
    <w:name w:val="Основной текст (7)"/>
    <w:basedOn w:val="a"/>
    <w:link w:val="7Exact"/>
    <w:rsid w:val="00C614CE"/>
    <w:pPr>
      <w:shd w:val="clear" w:color="auto" w:fill="FFFFFF"/>
      <w:spacing w:line="0" w:lineRule="atLeast"/>
    </w:pPr>
    <w:rPr>
      <w:rFonts w:ascii="Times New Roman" w:eastAsia="Times New Roman" w:hAnsi="Times New Roman" w:cs="Times New Roman"/>
      <w:sz w:val="13"/>
      <w:szCs w:val="13"/>
    </w:rPr>
  </w:style>
  <w:style w:type="paragraph" w:customStyle="1" w:styleId="60">
    <w:name w:val="Основной текст (6)"/>
    <w:basedOn w:val="a"/>
    <w:link w:val="6"/>
    <w:rsid w:val="00C614CE"/>
    <w:pPr>
      <w:shd w:val="clear" w:color="auto" w:fill="FFFFFF"/>
      <w:spacing w:after="60" w:line="0" w:lineRule="atLeast"/>
      <w:jc w:val="center"/>
    </w:pPr>
    <w:rPr>
      <w:rFonts w:ascii="Times New Roman" w:eastAsia="Times New Roman" w:hAnsi="Times New Roman" w:cs="Times New Roman"/>
      <w:b/>
      <w:bCs/>
      <w:sz w:val="28"/>
      <w:szCs w:val="28"/>
    </w:rPr>
  </w:style>
  <w:style w:type="table" w:styleId="a4">
    <w:name w:val="Table Grid"/>
    <w:basedOn w:val="a1"/>
    <w:uiPriority w:val="59"/>
    <w:rsid w:val="007D6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F2DDF"/>
    <w:pPr>
      <w:widowControl/>
      <w:suppressAutoHyphens/>
      <w:autoSpaceDE w:val="0"/>
      <w:autoSpaceDN w:val="0"/>
      <w:textAlignment w:val="baseline"/>
    </w:pPr>
    <w:rPr>
      <w:rFonts w:ascii="Times New Roman" w:eastAsia="Arial" w:hAnsi="Times New Roman" w:cs="Times New Roman"/>
      <w:b/>
      <w:bCs/>
      <w:kern w:val="3"/>
      <w:sz w:val="28"/>
      <w:szCs w:val="28"/>
      <w:lang w:eastAsia="zh-CN" w:bidi="ar-SA"/>
    </w:rPr>
  </w:style>
  <w:style w:type="character" w:customStyle="1" w:styleId="21">
    <w:name w:val="Основной текст (2) + Полужирный"/>
    <w:rsid w:val="00AF2DD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ListParagraph1">
    <w:name w:val="List Paragraph1"/>
    <w:basedOn w:val="a"/>
    <w:rsid w:val="00AF2DDF"/>
    <w:pPr>
      <w:widowControl/>
      <w:suppressAutoHyphens/>
      <w:spacing w:after="200" w:line="276" w:lineRule="auto"/>
      <w:ind w:left="720"/>
    </w:pPr>
    <w:rPr>
      <w:rFonts w:ascii="Calibri" w:eastAsia="Times New Roman" w:hAnsi="Calibri" w:cs="Calibri"/>
      <w:color w:val="auto"/>
      <w:sz w:val="22"/>
      <w:szCs w:val="22"/>
      <w:lang w:eastAsia="zh-CN" w:bidi="ar-SA"/>
    </w:rPr>
  </w:style>
  <w:style w:type="paragraph" w:customStyle="1" w:styleId="ConsNormal">
    <w:name w:val="ConsNormal"/>
    <w:rsid w:val="00AF2DDF"/>
    <w:pPr>
      <w:autoSpaceDE w:val="0"/>
      <w:autoSpaceDN w:val="0"/>
      <w:adjustRightInd w:val="0"/>
      <w:ind w:firstLine="720"/>
    </w:pPr>
    <w:rPr>
      <w:rFonts w:ascii="Arial" w:eastAsia="Times New Roman" w:hAnsi="Arial" w:cs="Arial"/>
      <w:sz w:val="20"/>
      <w:szCs w:val="20"/>
      <w:lang w:bidi="ar-SA"/>
    </w:rPr>
  </w:style>
  <w:style w:type="paragraph" w:styleId="a5">
    <w:name w:val="Balloon Text"/>
    <w:basedOn w:val="a"/>
    <w:link w:val="a6"/>
    <w:uiPriority w:val="99"/>
    <w:semiHidden/>
    <w:unhideWhenUsed/>
    <w:rsid w:val="00AF2DDF"/>
    <w:rPr>
      <w:rFonts w:ascii="Tahoma" w:hAnsi="Tahoma" w:cs="Tahoma"/>
      <w:sz w:val="16"/>
      <w:szCs w:val="16"/>
    </w:rPr>
  </w:style>
  <w:style w:type="character" w:customStyle="1" w:styleId="a6">
    <w:name w:val="Текст выноски Знак"/>
    <w:basedOn w:val="a0"/>
    <w:link w:val="a5"/>
    <w:uiPriority w:val="99"/>
    <w:semiHidden/>
    <w:rsid w:val="00AF2DDF"/>
    <w:rPr>
      <w:rFonts w:ascii="Tahoma" w:hAnsi="Tahoma" w:cs="Tahoma"/>
      <w:color w:val="000000"/>
      <w:sz w:val="16"/>
      <w:szCs w:val="16"/>
    </w:rPr>
  </w:style>
  <w:style w:type="paragraph" w:styleId="a7">
    <w:name w:val="header"/>
    <w:basedOn w:val="a"/>
    <w:link w:val="a8"/>
    <w:uiPriority w:val="99"/>
    <w:unhideWhenUsed/>
    <w:rsid w:val="003868FC"/>
    <w:pPr>
      <w:tabs>
        <w:tab w:val="center" w:pos="4677"/>
        <w:tab w:val="right" w:pos="9355"/>
      </w:tabs>
    </w:pPr>
  </w:style>
  <w:style w:type="character" w:customStyle="1" w:styleId="a8">
    <w:name w:val="Верхний колонтитул Знак"/>
    <w:basedOn w:val="a0"/>
    <w:link w:val="a7"/>
    <w:uiPriority w:val="99"/>
    <w:rsid w:val="003868FC"/>
    <w:rPr>
      <w:color w:val="000000"/>
    </w:rPr>
  </w:style>
  <w:style w:type="paragraph" w:styleId="a9">
    <w:name w:val="footer"/>
    <w:basedOn w:val="a"/>
    <w:link w:val="aa"/>
    <w:uiPriority w:val="99"/>
    <w:unhideWhenUsed/>
    <w:rsid w:val="003868FC"/>
    <w:pPr>
      <w:tabs>
        <w:tab w:val="center" w:pos="4677"/>
        <w:tab w:val="right" w:pos="9355"/>
      </w:tabs>
    </w:pPr>
  </w:style>
  <w:style w:type="character" w:customStyle="1" w:styleId="aa">
    <w:name w:val="Нижний колонтитул Знак"/>
    <w:basedOn w:val="a0"/>
    <w:link w:val="a9"/>
    <w:uiPriority w:val="99"/>
    <w:rsid w:val="003868F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14C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14CE"/>
    <w:rPr>
      <w:color w:val="000080"/>
      <w:u w:val="single"/>
    </w:rPr>
  </w:style>
  <w:style w:type="character" w:customStyle="1" w:styleId="3">
    <w:name w:val="Основной текст (3)_"/>
    <w:basedOn w:val="a0"/>
    <w:link w:val="30"/>
    <w:rsid w:val="00C614CE"/>
    <w:rPr>
      <w:rFonts w:ascii="Times New Roman" w:eastAsia="Times New Roman" w:hAnsi="Times New Roman" w:cs="Times New Roman"/>
      <w:b w:val="0"/>
      <w:bCs w:val="0"/>
      <w:i/>
      <w:iCs/>
      <w:smallCaps w:val="0"/>
      <w:strike w:val="0"/>
      <w:sz w:val="28"/>
      <w:szCs w:val="28"/>
      <w:u w:val="none"/>
    </w:rPr>
  </w:style>
  <w:style w:type="character" w:customStyle="1" w:styleId="2">
    <w:name w:val="Основной текст (2)_"/>
    <w:basedOn w:val="a0"/>
    <w:link w:val="20"/>
    <w:rsid w:val="00C614CE"/>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C614CE"/>
    <w:rPr>
      <w:rFonts w:ascii="Times New Roman" w:eastAsia="Times New Roman" w:hAnsi="Times New Roman" w:cs="Times New Roman"/>
      <w:b w:val="0"/>
      <w:bCs w:val="0"/>
      <w:i/>
      <w:iCs/>
      <w:smallCaps w:val="0"/>
      <w:strike w:val="0"/>
      <w:sz w:val="20"/>
      <w:szCs w:val="20"/>
      <w:u w:val="none"/>
    </w:rPr>
  </w:style>
  <w:style w:type="character" w:customStyle="1" w:styleId="29pt">
    <w:name w:val="Основной текст (2) + 9 pt;Полужирный"/>
    <w:basedOn w:val="2"/>
    <w:rsid w:val="00C614C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C614CE"/>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sid w:val="00C614CE"/>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a0"/>
    <w:link w:val="60"/>
    <w:rsid w:val="00C614CE"/>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C614CE"/>
    <w:pPr>
      <w:shd w:val="clear" w:color="auto" w:fill="FFFFFF"/>
      <w:spacing w:line="322" w:lineRule="exact"/>
      <w:jc w:val="center"/>
    </w:pPr>
    <w:rPr>
      <w:rFonts w:ascii="Times New Roman" w:eastAsia="Times New Roman" w:hAnsi="Times New Roman" w:cs="Times New Roman"/>
      <w:i/>
      <w:iCs/>
      <w:sz w:val="28"/>
      <w:szCs w:val="28"/>
    </w:rPr>
  </w:style>
  <w:style w:type="paragraph" w:customStyle="1" w:styleId="20">
    <w:name w:val="Основной текст (2)"/>
    <w:basedOn w:val="a"/>
    <w:link w:val="2"/>
    <w:rsid w:val="00C614CE"/>
    <w:pPr>
      <w:shd w:val="clear" w:color="auto" w:fill="FFFFFF"/>
      <w:spacing w:before="600" w:after="600" w:line="322" w:lineRule="exact"/>
    </w:pPr>
    <w:rPr>
      <w:rFonts w:ascii="Times New Roman" w:eastAsia="Times New Roman" w:hAnsi="Times New Roman" w:cs="Times New Roman"/>
      <w:sz w:val="28"/>
      <w:szCs w:val="28"/>
    </w:rPr>
  </w:style>
  <w:style w:type="paragraph" w:customStyle="1" w:styleId="40">
    <w:name w:val="Основной текст (4)"/>
    <w:basedOn w:val="a"/>
    <w:link w:val="4"/>
    <w:rsid w:val="00C614CE"/>
    <w:pPr>
      <w:shd w:val="clear" w:color="auto" w:fill="FFFFFF"/>
      <w:spacing w:before="60" w:after="60" w:line="0" w:lineRule="atLeast"/>
      <w:jc w:val="center"/>
    </w:pPr>
    <w:rPr>
      <w:rFonts w:ascii="Times New Roman" w:eastAsia="Times New Roman" w:hAnsi="Times New Roman" w:cs="Times New Roman"/>
      <w:i/>
      <w:iCs/>
      <w:sz w:val="20"/>
      <w:szCs w:val="20"/>
    </w:rPr>
  </w:style>
  <w:style w:type="paragraph" w:customStyle="1" w:styleId="50">
    <w:name w:val="Основной текст (5)"/>
    <w:basedOn w:val="a"/>
    <w:link w:val="5"/>
    <w:rsid w:val="00C614CE"/>
    <w:pPr>
      <w:shd w:val="clear" w:color="auto" w:fill="FFFFFF"/>
      <w:spacing w:before="480" w:line="547" w:lineRule="exact"/>
      <w:jc w:val="both"/>
    </w:pPr>
    <w:rPr>
      <w:rFonts w:ascii="Times New Roman" w:eastAsia="Times New Roman" w:hAnsi="Times New Roman" w:cs="Times New Roman"/>
    </w:rPr>
  </w:style>
  <w:style w:type="paragraph" w:customStyle="1" w:styleId="7">
    <w:name w:val="Основной текст (7)"/>
    <w:basedOn w:val="a"/>
    <w:link w:val="7Exact"/>
    <w:rsid w:val="00C614CE"/>
    <w:pPr>
      <w:shd w:val="clear" w:color="auto" w:fill="FFFFFF"/>
      <w:spacing w:line="0" w:lineRule="atLeast"/>
    </w:pPr>
    <w:rPr>
      <w:rFonts w:ascii="Times New Roman" w:eastAsia="Times New Roman" w:hAnsi="Times New Roman" w:cs="Times New Roman"/>
      <w:sz w:val="13"/>
      <w:szCs w:val="13"/>
    </w:rPr>
  </w:style>
  <w:style w:type="paragraph" w:customStyle="1" w:styleId="60">
    <w:name w:val="Основной текст (6)"/>
    <w:basedOn w:val="a"/>
    <w:link w:val="6"/>
    <w:rsid w:val="00C614CE"/>
    <w:pPr>
      <w:shd w:val="clear" w:color="auto" w:fill="FFFFFF"/>
      <w:spacing w:after="60" w:line="0" w:lineRule="atLeast"/>
      <w:jc w:val="center"/>
    </w:pPr>
    <w:rPr>
      <w:rFonts w:ascii="Times New Roman" w:eastAsia="Times New Roman" w:hAnsi="Times New Roman" w:cs="Times New Roman"/>
      <w:b/>
      <w:bCs/>
      <w:sz w:val="28"/>
      <w:szCs w:val="28"/>
    </w:rPr>
  </w:style>
  <w:style w:type="table" w:styleId="a4">
    <w:name w:val="Table Grid"/>
    <w:basedOn w:val="a1"/>
    <w:uiPriority w:val="59"/>
    <w:rsid w:val="007D6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F2DDF"/>
    <w:pPr>
      <w:widowControl/>
      <w:suppressAutoHyphens/>
      <w:autoSpaceDE w:val="0"/>
      <w:autoSpaceDN w:val="0"/>
      <w:textAlignment w:val="baseline"/>
    </w:pPr>
    <w:rPr>
      <w:rFonts w:ascii="Times New Roman" w:eastAsia="Arial" w:hAnsi="Times New Roman" w:cs="Times New Roman"/>
      <w:b/>
      <w:bCs/>
      <w:kern w:val="3"/>
      <w:sz w:val="28"/>
      <w:szCs w:val="28"/>
      <w:lang w:eastAsia="zh-CN" w:bidi="ar-SA"/>
    </w:rPr>
  </w:style>
  <w:style w:type="character" w:customStyle="1" w:styleId="21">
    <w:name w:val="Основной текст (2) + Полужирный"/>
    <w:rsid w:val="00AF2DD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ListParagraph1">
    <w:name w:val="List Paragraph1"/>
    <w:basedOn w:val="a"/>
    <w:rsid w:val="00AF2DDF"/>
    <w:pPr>
      <w:widowControl/>
      <w:suppressAutoHyphens/>
      <w:spacing w:after="200" w:line="276" w:lineRule="auto"/>
      <w:ind w:left="720"/>
    </w:pPr>
    <w:rPr>
      <w:rFonts w:ascii="Calibri" w:eastAsia="Times New Roman" w:hAnsi="Calibri" w:cs="Calibri"/>
      <w:color w:val="auto"/>
      <w:sz w:val="22"/>
      <w:szCs w:val="22"/>
      <w:lang w:eastAsia="zh-CN" w:bidi="ar-SA"/>
    </w:rPr>
  </w:style>
  <w:style w:type="paragraph" w:customStyle="1" w:styleId="ConsNormal">
    <w:name w:val="ConsNormal"/>
    <w:rsid w:val="00AF2DDF"/>
    <w:pPr>
      <w:autoSpaceDE w:val="0"/>
      <w:autoSpaceDN w:val="0"/>
      <w:adjustRightInd w:val="0"/>
      <w:ind w:firstLine="720"/>
    </w:pPr>
    <w:rPr>
      <w:rFonts w:ascii="Arial" w:eastAsia="Times New Roman" w:hAnsi="Arial" w:cs="Arial"/>
      <w:sz w:val="20"/>
      <w:szCs w:val="20"/>
      <w:lang w:bidi="ar-SA"/>
    </w:rPr>
  </w:style>
  <w:style w:type="paragraph" w:styleId="a5">
    <w:name w:val="Balloon Text"/>
    <w:basedOn w:val="a"/>
    <w:link w:val="a6"/>
    <w:uiPriority w:val="99"/>
    <w:semiHidden/>
    <w:unhideWhenUsed/>
    <w:rsid w:val="00AF2DDF"/>
    <w:rPr>
      <w:rFonts w:ascii="Tahoma" w:hAnsi="Tahoma" w:cs="Tahoma"/>
      <w:sz w:val="16"/>
      <w:szCs w:val="16"/>
    </w:rPr>
  </w:style>
  <w:style w:type="character" w:customStyle="1" w:styleId="a6">
    <w:name w:val="Текст выноски Знак"/>
    <w:basedOn w:val="a0"/>
    <w:link w:val="a5"/>
    <w:uiPriority w:val="99"/>
    <w:semiHidden/>
    <w:rsid w:val="00AF2DDF"/>
    <w:rPr>
      <w:rFonts w:ascii="Tahoma" w:hAnsi="Tahoma" w:cs="Tahoma"/>
      <w:color w:val="000000"/>
      <w:sz w:val="16"/>
      <w:szCs w:val="16"/>
    </w:rPr>
  </w:style>
  <w:style w:type="paragraph" w:styleId="a7">
    <w:name w:val="header"/>
    <w:basedOn w:val="a"/>
    <w:link w:val="a8"/>
    <w:uiPriority w:val="99"/>
    <w:unhideWhenUsed/>
    <w:rsid w:val="003868FC"/>
    <w:pPr>
      <w:tabs>
        <w:tab w:val="center" w:pos="4677"/>
        <w:tab w:val="right" w:pos="9355"/>
      </w:tabs>
    </w:pPr>
  </w:style>
  <w:style w:type="character" w:customStyle="1" w:styleId="a8">
    <w:name w:val="Верхний колонтитул Знак"/>
    <w:basedOn w:val="a0"/>
    <w:link w:val="a7"/>
    <w:uiPriority w:val="99"/>
    <w:rsid w:val="003868FC"/>
    <w:rPr>
      <w:color w:val="000000"/>
    </w:rPr>
  </w:style>
  <w:style w:type="paragraph" w:styleId="a9">
    <w:name w:val="footer"/>
    <w:basedOn w:val="a"/>
    <w:link w:val="aa"/>
    <w:uiPriority w:val="99"/>
    <w:unhideWhenUsed/>
    <w:rsid w:val="003868FC"/>
    <w:pPr>
      <w:tabs>
        <w:tab w:val="center" w:pos="4677"/>
        <w:tab w:val="right" w:pos="9355"/>
      </w:tabs>
    </w:pPr>
  </w:style>
  <w:style w:type="character" w:customStyle="1" w:styleId="aa">
    <w:name w:val="Нижний колонтитул Знак"/>
    <w:basedOn w:val="a0"/>
    <w:link w:val="a9"/>
    <w:uiPriority w:val="99"/>
    <w:rsid w:val="003868FC"/>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7</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dc:creator>
  <cp:lastModifiedBy>GEG</cp:lastModifiedBy>
  <cp:revision>18</cp:revision>
  <dcterms:created xsi:type="dcterms:W3CDTF">2019-02-03T12:50:00Z</dcterms:created>
  <dcterms:modified xsi:type="dcterms:W3CDTF">2020-04-02T12:49:00Z</dcterms:modified>
</cp:coreProperties>
</file>