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C2" w:rsidRPr="009B3400" w:rsidRDefault="009B3400" w:rsidP="009B3400">
      <w:pPr>
        <w:jc w:val="right"/>
      </w:pPr>
      <w:r w:rsidRPr="009B3400">
        <w:t>Приложение 6.</w:t>
      </w:r>
    </w:p>
    <w:p w:rsidR="00A1575C" w:rsidRPr="00115E44" w:rsidRDefault="00A1575C" w:rsidP="004A7DF2">
      <w:pPr>
        <w:jc w:val="center"/>
        <w:rPr>
          <w:b/>
        </w:rPr>
      </w:pPr>
    </w:p>
    <w:p w:rsidR="00525EB1" w:rsidRDefault="00115E44" w:rsidP="004A7DF2">
      <w:pPr>
        <w:jc w:val="center"/>
        <w:rPr>
          <w:b/>
        </w:rPr>
      </w:pPr>
      <w:r w:rsidRPr="00115E44">
        <w:rPr>
          <w:b/>
        </w:rPr>
        <w:t>ЭКСПЕРТН</w:t>
      </w:r>
      <w:r w:rsidR="00525EB1">
        <w:rPr>
          <w:b/>
        </w:rPr>
        <w:t xml:space="preserve">ЫЙ ОТЧЕТ </w:t>
      </w:r>
    </w:p>
    <w:p w:rsidR="006C0518" w:rsidRPr="00115E44" w:rsidRDefault="00525EB1" w:rsidP="004A7DF2">
      <w:pPr>
        <w:jc w:val="center"/>
        <w:rPr>
          <w:b/>
        </w:rPr>
      </w:pPr>
      <w:r>
        <w:rPr>
          <w:b/>
        </w:rPr>
        <w:t>О ПРОВЕДЕНИИ ПРОФЕССИОНАЛЬНО-ОБЩЕСТВЕННОЙ АККРЕДИТАЦИИ</w:t>
      </w:r>
      <w:r w:rsidR="006C0518" w:rsidRPr="00115E44">
        <w:rPr>
          <w:b/>
        </w:rPr>
        <w:t xml:space="preserve"> </w:t>
      </w:r>
    </w:p>
    <w:p w:rsidR="00115E44" w:rsidRDefault="004A6DEF" w:rsidP="004A7DF2">
      <w:pPr>
        <w:jc w:val="center"/>
        <w:rPr>
          <w:b/>
        </w:rPr>
      </w:pPr>
      <w:r>
        <w:rPr>
          <w:b/>
        </w:rPr>
        <w:t xml:space="preserve">ПРОФЕССИОНАЛЬНОЙ </w:t>
      </w:r>
      <w:r w:rsidR="006C0518" w:rsidRPr="00115E44">
        <w:rPr>
          <w:b/>
        </w:rPr>
        <w:t xml:space="preserve">ОБРАЗОВАТЕЛЬНОЙ ПРОГРАММЫ </w:t>
      </w:r>
    </w:p>
    <w:p w:rsidR="00361836" w:rsidRDefault="00361836" w:rsidP="006C0518">
      <w:pPr>
        <w:jc w:val="center"/>
      </w:pPr>
      <w:r w:rsidRPr="00361836">
        <w:rPr>
          <w:b/>
        </w:rPr>
        <w:t>00.00.00 «____________________________________________________»</w:t>
      </w:r>
      <w:r w:rsidRPr="00115E44">
        <w:t xml:space="preserve"> </w:t>
      </w:r>
    </w:p>
    <w:p w:rsidR="00542B26" w:rsidRDefault="00542B26" w:rsidP="006C0518">
      <w:pPr>
        <w:jc w:val="center"/>
      </w:pPr>
      <w:r>
        <w:t xml:space="preserve">направленность (профиль) ____________________________________________________ , </w:t>
      </w:r>
    </w:p>
    <w:p w:rsidR="00542B26" w:rsidRDefault="00542B26" w:rsidP="00542B26">
      <w:pPr>
        <w:ind w:firstLine="0"/>
      </w:pPr>
    </w:p>
    <w:p w:rsidR="006C0518" w:rsidRDefault="00542B26" w:rsidP="00542B26">
      <w:pPr>
        <w:ind w:firstLine="0"/>
        <w:rPr>
          <w:color w:val="FF0000"/>
        </w:rPr>
      </w:pPr>
      <w:r>
        <w:t>р</w:t>
      </w:r>
      <w:r w:rsidR="00361836" w:rsidRPr="00115E44">
        <w:t>еализуемой в __________________________________________________________________</w:t>
      </w:r>
    </w:p>
    <w:p w:rsidR="00313430" w:rsidRPr="00313430" w:rsidRDefault="00313430" w:rsidP="00542B26">
      <w:pPr>
        <w:rPr>
          <w:color w:val="FF0000"/>
        </w:rPr>
      </w:pPr>
    </w:p>
    <w:p w:rsidR="00361836" w:rsidRDefault="00361836" w:rsidP="00542B26"/>
    <w:p w:rsidR="006C0518" w:rsidRPr="00F66CC6" w:rsidRDefault="006C0518" w:rsidP="006C0518">
      <w:r w:rsidRPr="00115E44">
        <w:t xml:space="preserve">Аккредитационная экспертиза проведена в соответствии с </w:t>
      </w:r>
      <w:r w:rsidR="00F66CC6" w:rsidRPr="00F66CC6">
        <w:t xml:space="preserve">Договором </w:t>
      </w:r>
      <w:r w:rsidR="00F66CC6" w:rsidRPr="00F66CC6">
        <w:rPr>
          <w:bCs/>
        </w:rPr>
        <w:t>на оказание услуг по проведению профессионально-общественной аккредитации образовательных программ</w:t>
      </w:r>
      <w:r w:rsidR="00F66CC6">
        <w:rPr>
          <w:bCs/>
        </w:rPr>
        <w:t xml:space="preserve"> от ___________ № _____________</w:t>
      </w:r>
      <w:r w:rsidRPr="00F66CC6">
        <w:rPr>
          <w:color w:val="000000"/>
        </w:rPr>
        <w:t>.</w:t>
      </w:r>
    </w:p>
    <w:p w:rsidR="00E37F1E" w:rsidRDefault="00E37F1E" w:rsidP="0047570A">
      <w:pPr>
        <w:ind w:firstLine="0"/>
        <w:jc w:val="center"/>
        <w:rPr>
          <w:b/>
        </w:rPr>
      </w:pPr>
    </w:p>
    <w:p w:rsidR="0047570A" w:rsidRPr="00115E44" w:rsidRDefault="0047570A" w:rsidP="0047570A">
      <w:pPr>
        <w:numPr>
          <w:ilvl w:val="0"/>
          <w:numId w:val="16"/>
        </w:numPr>
        <w:ind w:left="0" w:firstLine="0"/>
        <w:jc w:val="left"/>
        <w:rPr>
          <w:b/>
        </w:rPr>
      </w:pPr>
      <w:r>
        <w:rPr>
          <w:b/>
        </w:rPr>
        <w:t xml:space="preserve">Общая </w:t>
      </w:r>
      <w:r w:rsidRPr="0047570A">
        <w:rPr>
          <w:b/>
        </w:rPr>
        <w:t>характеристика организации, осуществляющей образовательную деятельность, представившей образовательную программу на аккредитационную экспертизу</w:t>
      </w:r>
    </w:p>
    <w:p w:rsidR="0047570A" w:rsidRDefault="0047570A" w:rsidP="0047570A">
      <w:pPr>
        <w:numPr>
          <w:ilvl w:val="1"/>
          <w:numId w:val="16"/>
        </w:numPr>
        <w:jc w:val="left"/>
      </w:pPr>
      <w:r>
        <w:t>Наименование образовательной организации (полное и краткое)</w:t>
      </w:r>
    </w:p>
    <w:p w:rsidR="0047570A" w:rsidRDefault="0047570A" w:rsidP="0047570A">
      <w:pPr>
        <w:numPr>
          <w:ilvl w:val="1"/>
          <w:numId w:val="16"/>
        </w:numPr>
        <w:jc w:val="left"/>
      </w:pPr>
      <w:r>
        <w:t>Учредитель</w:t>
      </w:r>
    </w:p>
    <w:p w:rsidR="0047570A" w:rsidRDefault="0047570A" w:rsidP="0047570A">
      <w:pPr>
        <w:numPr>
          <w:ilvl w:val="1"/>
          <w:numId w:val="16"/>
        </w:numPr>
        <w:jc w:val="left"/>
      </w:pPr>
      <w:r>
        <w:t>Юридический адрес</w:t>
      </w:r>
    </w:p>
    <w:p w:rsidR="0047570A" w:rsidRDefault="0047570A" w:rsidP="0047570A">
      <w:pPr>
        <w:numPr>
          <w:ilvl w:val="1"/>
          <w:numId w:val="16"/>
        </w:numPr>
        <w:jc w:val="left"/>
      </w:pPr>
      <w:r>
        <w:t>Лицензия на осуществление образовательной деятельности</w:t>
      </w:r>
    </w:p>
    <w:p w:rsidR="0047570A" w:rsidRDefault="0047570A" w:rsidP="0047570A">
      <w:pPr>
        <w:numPr>
          <w:ilvl w:val="1"/>
          <w:numId w:val="16"/>
        </w:numPr>
        <w:jc w:val="left"/>
      </w:pPr>
      <w:r>
        <w:t>Государственная аккредитация</w:t>
      </w:r>
    </w:p>
    <w:p w:rsidR="0047570A" w:rsidRDefault="0047570A" w:rsidP="0047570A">
      <w:pPr>
        <w:ind w:firstLine="0"/>
        <w:jc w:val="left"/>
      </w:pPr>
    </w:p>
    <w:p w:rsidR="0047570A" w:rsidRDefault="0047570A" w:rsidP="0047570A">
      <w:pPr>
        <w:ind w:firstLine="0"/>
        <w:jc w:val="left"/>
      </w:pPr>
    </w:p>
    <w:p w:rsidR="0047570A" w:rsidRDefault="0047570A" w:rsidP="0047570A">
      <w:pPr>
        <w:ind w:firstLine="0"/>
        <w:jc w:val="left"/>
        <w:rPr>
          <w:b/>
        </w:rPr>
      </w:pPr>
      <w:r w:rsidRPr="0047570A">
        <w:rPr>
          <w:b/>
        </w:rPr>
        <w:t xml:space="preserve">2. Общая характеристика представленной на аккредитационную экспертизу </w:t>
      </w:r>
      <w:r>
        <w:rPr>
          <w:b/>
        </w:rPr>
        <w:t>о</w:t>
      </w:r>
      <w:r w:rsidRPr="0047570A">
        <w:rPr>
          <w:b/>
        </w:rPr>
        <w:t>бразовательной программы</w:t>
      </w:r>
    </w:p>
    <w:p w:rsidR="0047570A" w:rsidRDefault="0047570A" w:rsidP="0047570A">
      <w:pPr>
        <w:ind w:firstLine="708"/>
        <w:jc w:val="left"/>
      </w:pPr>
      <w:r w:rsidRPr="0047570A">
        <w:t xml:space="preserve">2.1. </w:t>
      </w:r>
      <w:r>
        <w:t>Код и название программы</w:t>
      </w:r>
    </w:p>
    <w:p w:rsidR="0047570A" w:rsidRDefault="0047570A" w:rsidP="0047570A">
      <w:pPr>
        <w:ind w:firstLine="708"/>
        <w:jc w:val="left"/>
      </w:pPr>
      <w:r>
        <w:t xml:space="preserve">2.2. </w:t>
      </w:r>
      <w:r w:rsidR="00A43053">
        <w:t>Срок освоения</w:t>
      </w:r>
    </w:p>
    <w:p w:rsidR="00A43053" w:rsidRDefault="00A43053" w:rsidP="0047570A">
      <w:pPr>
        <w:ind w:firstLine="708"/>
        <w:jc w:val="left"/>
      </w:pPr>
      <w:r>
        <w:t>2.3. Трудоемкость</w:t>
      </w:r>
    </w:p>
    <w:p w:rsidR="00A43053" w:rsidRDefault="00A43053" w:rsidP="0047570A">
      <w:pPr>
        <w:ind w:firstLine="708"/>
        <w:jc w:val="left"/>
      </w:pPr>
      <w:r>
        <w:t>2.4. Требование к уровню подготовки абитуриента</w:t>
      </w:r>
    </w:p>
    <w:p w:rsidR="00D61BF9" w:rsidRDefault="00D61BF9" w:rsidP="0047570A">
      <w:pPr>
        <w:ind w:firstLine="708"/>
        <w:jc w:val="left"/>
      </w:pPr>
      <w:r>
        <w:t>2.5. Формы обучения</w:t>
      </w:r>
    </w:p>
    <w:p w:rsidR="00A43053" w:rsidRDefault="00D61BF9" w:rsidP="0047570A">
      <w:pPr>
        <w:ind w:firstLine="708"/>
        <w:jc w:val="left"/>
      </w:pPr>
      <w:r>
        <w:t>2.6</w:t>
      </w:r>
      <w:r w:rsidR="00A43053">
        <w:t>. Виды профессиональной деятельности, к которым готовится выпускник</w:t>
      </w:r>
    </w:p>
    <w:p w:rsidR="00A43053" w:rsidRDefault="00D61BF9" w:rsidP="0047570A">
      <w:pPr>
        <w:ind w:firstLine="708"/>
        <w:jc w:val="left"/>
      </w:pPr>
      <w:r>
        <w:t>2.7</w:t>
      </w:r>
      <w:r w:rsidR="00A43053">
        <w:t xml:space="preserve">. </w:t>
      </w:r>
      <w:r>
        <w:t xml:space="preserve">Присваиваемые квалификации </w:t>
      </w:r>
    </w:p>
    <w:p w:rsidR="00A43053" w:rsidRDefault="00D61BF9" w:rsidP="0047570A">
      <w:pPr>
        <w:ind w:firstLine="708"/>
        <w:jc w:val="left"/>
      </w:pPr>
      <w:r>
        <w:t>2.8</w:t>
      </w:r>
      <w:r w:rsidR="00A43053">
        <w:t xml:space="preserve">. </w:t>
      </w:r>
      <w:r w:rsidRPr="00D61BF9">
        <w:t>П</w:t>
      </w:r>
      <w:r>
        <w:t>рофессиональные стандарты</w:t>
      </w:r>
      <w:r w:rsidRPr="00D61BF9">
        <w:t>,</w:t>
      </w:r>
      <w:r w:rsidRPr="00FD5139">
        <w:t xml:space="preserve"> на основании которых разработана или актуализирована образовательная программа.</w:t>
      </w:r>
    </w:p>
    <w:p w:rsidR="00A43053" w:rsidRDefault="00A43053" w:rsidP="00F66CC6">
      <w:pPr>
        <w:ind w:firstLine="0"/>
        <w:jc w:val="left"/>
      </w:pPr>
    </w:p>
    <w:p w:rsidR="00F66CC6" w:rsidRDefault="00F66CC6" w:rsidP="00F66CC6">
      <w:pPr>
        <w:ind w:firstLine="0"/>
        <w:jc w:val="left"/>
      </w:pPr>
    </w:p>
    <w:p w:rsidR="00F66CC6" w:rsidRDefault="00F66CC6" w:rsidP="00F66CC6">
      <w:pPr>
        <w:ind w:firstLine="0"/>
        <w:jc w:val="left"/>
      </w:pPr>
    </w:p>
    <w:p w:rsidR="00F66CC6" w:rsidRDefault="00F66CC6" w:rsidP="00F66CC6">
      <w:pPr>
        <w:ind w:firstLine="0"/>
        <w:jc w:val="left"/>
      </w:pPr>
    </w:p>
    <w:p w:rsidR="00F66CC6" w:rsidRDefault="00F66CC6" w:rsidP="00F66CC6">
      <w:pPr>
        <w:ind w:firstLine="0"/>
        <w:jc w:val="left"/>
      </w:pPr>
    </w:p>
    <w:p w:rsidR="00F66CC6" w:rsidRDefault="00F66CC6" w:rsidP="00F66CC6">
      <w:pPr>
        <w:ind w:firstLine="0"/>
        <w:jc w:val="left"/>
      </w:pPr>
    </w:p>
    <w:p w:rsidR="00F66CC6" w:rsidRDefault="00F66CC6" w:rsidP="00F66CC6">
      <w:pPr>
        <w:ind w:firstLine="0"/>
        <w:jc w:val="left"/>
      </w:pPr>
    </w:p>
    <w:p w:rsidR="00F66CC6" w:rsidRDefault="00F66CC6" w:rsidP="00F66CC6">
      <w:pPr>
        <w:ind w:firstLine="0"/>
        <w:jc w:val="left"/>
      </w:pPr>
    </w:p>
    <w:p w:rsidR="00F66CC6" w:rsidRDefault="00F66CC6" w:rsidP="00F66CC6">
      <w:pPr>
        <w:ind w:firstLine="0"/>
        <w:jc w:val="left"/>
      </w:pPr>
    </w:p>
    <w:p w:rsidR="00F66CC6" w:rsidRDefault="00F66CC6" w:rsidP="00F66CC6">
      <w:pPr>
        <w:ind w:firstLine="0"/>
        <w:jc w:val="left"/>
      </w:pPr>
    </w:p>
    <w:p w:rsidR="00F66CC6" w:rsidRDefault="00F66CC6" w:rsidP="00F66CC6">
      <w:pPr>
        <w:ind w:firstLine="0"/>
        <w:jc w:val="left"/>
      </w:pPr>
    </w:p>
    <w:p w:rsidR="00F66CC6" w:rsidRDefault="00F66CC6" w:rsidP="00F66CC6">
      <w:pPr>
        <w:ind w:firstLine="0"/>
        <w:jc w:val="left"/>
      </w:pPr>
    </w:p>
    <w:p w:rsidR="00F66CC6" w:rsidRDefault="00F66CC6" w:rsidP="00F66CC6">
      <w:pPr>
        <w:ind w:firstLine="0"/>
        <w:jc w:val="left"/>
      </w:pPr>
    </w:p>
    <w:p w:rsidR="00F66CC6" w:rsidRDefault="00F66CC6" w:rsidP="00F66CC6">
      <w:pPr>
        <w:ind w:firstLine="0"/>
        <w:jc w:val="left"/>
      </w:pPr>
    </w:p>
    <w:p w:rsidR="00F66CC6" w:rsidRDefault="00F66CC6" w:rsidP="00F66CC6">
      <w:pPr>
        <w:ind w:firstLine="0"/>
        <w:jc w:val="left"/>
      </w:pPr>
    </w:p>
    <w:p w:rsidR="00F66CC6" w:rsidRDefault="00F66CC6" w:rsidP="00F66CC6">
      <w:pPr>
        <w:ind w:firstLine="0"/>
        <w:jc w:val="left"/>
        <w:sectPr w:rsidR="00F66CC6" w:rsidSect="008631D5">
          <w:headerReference w:type="default" r:id="rId8"/>
          <w:footerReference w:type="default" r:id="rId9"/>
          <w:pgSz w:w="11900" w:h="16840"/>
          <w:pgMar w:top="1134" w:right="567" w:bottom="567" w:left="1134" w:header="720" w:footer="720" w:gutter="0"/>
          <w:cols w:space="720"/>
          <w:docGrid w:linePitch="360"/>
        </w:sectPr>
      </w:pPr>
    </w:p>
    <w:p w:rsidR="00F66CC6" w:rsidRDefault="00F66CC6" w:rsidP="00F66CC6">
      <w:pPr>
        <w:ind w:firstLine="0"/>
        <w:jc w:val="left"/>
      </w:pPr>
    </w:p>
    <w:p w:rsidR="00A43053" w:rsidRDefault="00A43053" w:rsidP="00A43053">
      <w:pPr>
        <w:ind w:firstLine="0"/>
        <w:jc w:val="left"/>
        <w:rPr>
          <w:b/>
        </w:rPr>
      </w:pPr>
      <w:r w:rsidRPr="00A43053">
        <w:rPr>
          <w:b/>
        </w:rPr>
        <w:t xml:space="preserve">3. Соответствие представленной на аккредитационную экспертизу образовательной программы критериям, установленным Общими требованиями и </w:t>
      </w:r>
      <w:r w:rsidR="00F66CC6">
        <w:rPr>
          <w:b/>
        </w:rPr>
        <w:t xml:space="preserve">Порядком проведения ПОА, утвержденным </w:t>
      </w:r>
      <w:r w:rsidRPr="00A43053">
        <w:rPr>
          <w:b/>
        </w:rPr>
        <w:t>СПК АПК</w:t>
      </w:r>
      <w:r w:rsidR="00F66CC6">
        <w:rPr>
          <w:b/>
        </w:rPr>
        <w:t>.</w:t>
      </w:r>
    </w:p>
    <w:p w:rsidR="00DF02E0" w:rsidRPr="00E0571E" w:rsidRDefault="00DF02E0" w:rsidP="00DF02E0">
      <w:pPr>
        <w:rPr>
          <w:b/>
          <w:sz w:val="28"/>
          <w:szCs w:val="28"/>
        </w:rPr>
      </w:pPr>
    </w:p>
    <w:tbl>
      <w:tblPr>
        <w:tblW w:w="1033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554"/>
        <w:gridCol w:w="1579"/>
        <w:gridCol w:w="2976"/>
      </w:tblGrid>
      <w:tr w:rsidR="005A6CF9" w:rsidRPr="00E0571E" w:rsidTr="00C00423">
        <w:trPr>
          <w:trHeight w:val="739"/>
        </w:trPr>
        <w:tc>
          <w:tcPr>
            <w:tcW w:w="4225" w:type="dxa"/>
            <w:vMerge w:val="restart"/>
            <w:shd w:val="clear" w:color="auto" w:fill="D9D9D9"/>
            <w:vAlign w:val="center"/>
          </w:tcPr>
          <w:p w:rsidR="005A6CF9" w:rsidRPr="00121812" w:rsidRDefault="005A6CF9" w:rsidP="008631D5">
            <w:pPr>
              <w:ind w:firstLine="0"/>
              <w:jc w:val="center"/>
            </w:pPr>
            <w:r w:rsidRPr="00121812">
              <w:t xml:space="preserve">критерии </w:t>
            </w:r>
            <w:r>
              <w:t xml:space="preserve">и </w:t>
            </w:r>
            <w:r w:rsidRPr="00121812">
              <w:t>показатели</w:t>
            </w:r>
          </w:p>
        </w:tc>
        <w:tc>
          <w:tcPr>
            <w:tcW w:w="3133" w:type="dxa"/>
            <w:gridSpan w:val="2"/>
            <w:shd w:val="clear" w:color="auto" w:fill="D9D9D9"/>
          </w:tcPr>
          <w:p w:rsidR="005A6CF9" w:rsidRPr="00121812" w:rsidRDefault="005A6CF9" w:rsidP="00313430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121812">
              <w:rPr>
                <w:rFonts w:eastAsia="Arial Unicode MS" w:cs="Arial Unicode MS"/>
                <w:sz w:val="24"/>
                <w:szCs w:val="24"/>
              </w:rPr>
              <w:t>Значение показателя</w:t>
            </w:r>
          </w:p>
        </w:tc>
        <w:tc>
          <w:tcPr>
            <w:tcW w:w="2976" w:type="dxa"/>
            <w:shd w:val="clear" w:color="auto" w:fill="D9D9D9"/>
          </w:tcPr>
          <w:p w:rsidR="00C00423" w:rsidRDefault="005A6CF9" w:rsidP="00313430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21812">
              <w:rPr>
                <w:rFonts w:eastAsia="Arial Unicode MS" w:cs="Arial Unicode MS"/>
                <w:sz w:val="24"/>
                <w:szCs w:val="24"/>
              </w:rPr>
              <w:t xml:space="preserve">Результат </w:t>
            </w:r>
            <w:r w:rsidRPr="00C83925">
              <w:rPr>
                <w:sz w:val="24"/>
                <w:szCs w:val="24"/>
              </w:rPr>
              <w:t xml:space="preserve">общей </w:t>
            </w:r>
          </w:p>
          <w:p w:rsidR="005A6CF9" w:rsidRDefault="005A6CF9" w:rsidP="00313430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C83925">
              <w:rPr>
                <w:sz w:val="24"/>
                <w:szCs w:val="24"/>
              </w:rPr>
              <w:t>экспертной</w:t>
            </w:r>
            <w:r w:rsidRPr="00121812">
              <w:rPr>
                <w:rFonts w:eastAsia="Arial Unicode MS" w:cs="Arial Unicode MS"/>
                <w:sz w:val="24"/>
                <w:szCs w:val="24"/>
              </w:rPr>
              <w:t xml:space="preserve"> оценки</w:t>
            </w:r>
          </w:p>
        </w:tc>
      </w:tr>
      <w:tr w:rsidR="005A6CF9" w:rsidRPr="00E0571E" w:rsidTr="00C00423">
        <w:trPr>
          <w:trHeight w:val="487"/>
        </w:trPr>
        <w:tc>
          <w:tcPr>
            <w:tcW w:w="4225" w:type="dxa"/>
            <w:vMerge/>
            <w:shd w:val="clear" w:color="auto" w:fill="D9D9D9"/>
            <w:vAlign w:val="center"/>
          </w:tcPr>
          <w:p w:rsidR="005A6CF9" w:rsidRPr="009D0809" w:rsidRDefault="005A6CF9" w:rsidP="002A36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D9D9D9"/>
            <w:vAlign w:val="center"/>
          </w:tcPr>
          <w:p w:rsidR="005A6CF9" w:rsidRPr="00121812" w:rsidRDefault="005A6CF9" w:rsidP="008631D5">
            <w:pPr>
              <w:ind w:firstLine="0"/>
              <w:jc w:val="center"/>
            </w:pPr>
            <w:r>
              <w:t>целевое</w:t>
            </w:r>
          </w:p>
        </w:tc>
        <w:tc>
          <w:tcPr>
            <w:tcW w:w="1579" w:type="dxa"/>
            <w:shd w:val="clear" w:color="auto" w:fill="D9D9D9"/>
            <w:vAlign w:val="center"/>
          </w:tcPr>
          <w:p w:rsidR="005A6CF9" w:rsidRPr="00121812" w:rsidRDefault="005A6CF9" w:rsidP="008631D5">
            <w:pPr>
              <w:ind w:firstLine="0"/>
              <w:jc w:val="center"/>
            </w:pPr>
            <w:r>
              <w:t>по оценке экспертной комиссии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5A6CF9" w:rsidRPr="00121812" w:rsidRDefault="005A6CF9" w:rsidP="005A6CF9">
            <w:pPr>
              <w:ind w:firstLine="0"/>
              <w:jc w:val="center"/>
            </w:pPr>
            <w:r>
              <w:t>выполнен</w:t>
            </w:r>
            <w:r w:rsidRPr="005A6CF9">
              <w:t xml:space="preserve"> / не выполнен</w:t>
            </w:r>
          </w:p>
        </w:tc>
      </w:tr>
      <w:tr w:rsidR="00542B26" w:rsidRPr="00E0571E" w:rsidTr="00542B26">
        <w:trPr>
          <w:trHeight w:val="797"/>
        </w:trPr>
        <w:tc>
          <w:tcPr>
            <w:tcW w:w="10334" w:type="dxa"/>
            <w:gridSpan w:val="4"/>
            <w:shd w:val="clear" w:color="auto" w:fill="D9D9D9"/>
          </w:tcPr>
          <w:p w:rsidR="00542B26" w:rsidRPr="007F4711" w:rsidRDefault="00542B26" w:rsidP="00542B26">
            <w:pPr>
              <w:ind w:firstLine="0"/>
              <w:jc w:val="left"/>
              <w:rPr>
                <w:b/>
              </w:rPr>
            </w:pPr>
            <w:r w:rsidRPr="00DF02E0">
              <w:rPr>
                <w:b/>
              </w:rPr>
              <w:t>1. Результаты прохождения выпускниками образовательной программы профессионального экзамена в форме независимой оценки квалификации.</w:t>
            </w:r>
          </w:p>
        </w:tc>
      </w:tr>
      <w:tr w:rsidR="005A6CF9" w:rsidRPr="00E0571E" w:rsidTr="00C00423">
        <w:trPr>
          <w:trHeight w:val="2541"/>
        </w:trPr>
        <w:tc>
          <w:tcPr>
            <w:tcW w:w="4225" w:type="dxa"/>
            <w:shd w:val="clear" w:color="auto" w:fill="auto"/>
          </w:tcPr>
          <w:p w:rsidR="005A6CF9" w:rsidRPr="007F4711" w:rsidRDefault="005A6CF9" w:rsidP="00313430">
            <w:pPr>
              <w:ind w:firstLine="0"/>
              <w:jc w:val="left"/>
            </w:pPr>
            <w:r w:rsidRPr="00DF02E0">
              <w:t>1.1. Д</w:t>
            </w:r>
            <w:r w:rsidRPr="00DF02E0">
              <w:rPr>
                <w:rStyle w:val="26"/>
                <w:rFonts w:eastAsia="Arial Unicode MS"/>
                <w:b w:val="0"/>
                <w:sz w:val="24"/>
                <w:szCs w:val="24"/>
              </w:rPr>
              <w:t xml:space="preserve">оля выпускников образовательной программы, успешно прошедших процедуру независимой оценки квалификаций в срок не позднее трех лет после окончания образовательной программы, от общего числа выпускников образовательной программы за соответствующий период. </w:t>
            </w:r>
          </w:p>
        </w:tc>
        <w:tc>
          <w:tcPr>
            <w:tcW w:w="1554" w:type="dxa"/>
          </w:tcPr>
          <w:p w:rsidR="005A6CF9" w:rsidRPr="007F4711" w:rsidRDefault="005A6CF9" w:rsidP="008631D5">
            <w:pPr>
              <w:ind w:firstLine="0"/>
              <w:jc w:val="center"/>
              <w:rPr>
                <w:b/>
              </w:rPr>
            </w:pPr>
            <w:r w:rsidRPr="007F4711">
              <w:rPr>
                <w:b/>
              </w:rPr>
              <w:t>70%</w:t>
            </w:r>
          </w:p>
          <w:p w:rsidR="005A6CF9" w:rsidRPr="00E0571E" w:rsidRDefault="005A6CF9" w:rsidP="008631D5">
            <w:pPr>
              <w:jc w:val="center"/>
            </w:pPr>
          </w:p>
        </w:tc>
        <w:tc>
          <w:tcPr>
            <w:tcW w:w="1579" w:type="dxa"/>
          </w:tcPr>
          <w:p w:rsidR="005A6CF9" w:rsidRPr="007F4711" w:rsidRDefault="005A6CF9" w:rsidP="002A36CB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Pr="007F4711" w:rsidRDefault="005A6CF9" w:rsidP="002A36CB">
            <w:pPr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1827"/>
        </w:trPr>
        <w:tc>
          <w:tcPr>
            <w:tcW w:w="4225" w:type="dxa"/>
            <w:shd w:val="clear" w:color="auto" w:fill="auto"/>
          </w:tcPr>
          <w:p w:rsidR="005A6CF9" w:rsidRPr="00E0571E" w:rsidRDefault="005A6CF9" w:rsidP="00DF02E0">
            <w:pPr>
              <w:ind w:firstLine="0"/>
              <w:jc w:val="left"/>
            </w:pPr>
            <w:r w:rsidRPr="00E0571E">
              <w:t>1.</w:t>
            </w:r>
            <w:r>
              <w:t>2</w:t>
            </w:r>
            <w:r w:rsidRPr="00E0571E">
              <w:t xml:space="preserve">. Доля выпускников образовательной программы, прошедших процедуру </w:t>
            </w:r>
            <w:r>
              <w:rPr>
                <w:noProof/>
                <w:lang w:eastAsia="ru-RU"/>
              </w:rPr>
              <w:drawing>
                <wp:inline distT="0" distB="0" distL="0" distR="0" wp14:anchorId="25EEFC54" wp14:editId="5C52EA72">
                  <wp:extent cx="10795" cy="1079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71E">
              <w:t>государственной итоговой аттестации и получивших оценки «хорошо» и «отлично», от общего числа выпускников образовательной программы</w:t>
            </w:r>
            <w:r>
              <w:t xml:space="preserve"> за последние три года до аккредитационной экспертизы п</w:t>
            </w:r>
            <w:r w:rsidRPr="009D0809">
              <w:t>ри условии непосредственного участия работодателей в проведении государственной итоговой аттестации и положительного заключения экспертов о соответствии применяемых в организации программ, процедур, фондов оценочных средств государственной итоговой аттестации требованиям профессиональных стандартов (в рамках аккредитуемой образовательной программы)</w:t>
            </w:r>
          </w:p>
        </w:tc>
        <w:tc>
          <w:tcPr>
            <w:tcW w:w="1554" w:type="dxa"/>
          </w:tcPr>
          <w:p w:rsidR="005A6CF9" w:rsidRPr="007F4711" w:rsidRDefault="005A6CF9" w:rsidP="008631D5">
            <w:pPr>
              <w:ind w:firstLine="0"/>
              <w:jc w:val="center"/>
              <w:rPr>
                <w:b/>
              </w:rPr>
            </w:pPr>
            <w:r w:rsidRPr="007F4711">
              <w:rPr>
                <w:b/>
              </w:rPr>
              <w:t>70%</w:t>
            </w:r>
          </w:p>
          <w:p w:rsidR="005A6CF9" w:rsidRPr="00E0571E" w:rsidRDefault="005A6CF9" w:rsidP="008631D5">
            <w:pPr>
              <w:jc w:val="center"/>
            </w:pPr>
          </w:p>
        </w:tc>
        <w:tc>
          <w:tcPr>
            <w:tcW w:w="1579" w:type="dxa"/>
          </w:tcPr>
          <w:p w:rsidR="005A6CF9" w:rsidRPr="007F4711" w:rsidRDefault="005A6CF9" w:rsidP="002A36CB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Pr="007F4711" w:rsidRDefault="005A6CF9" w:rsidP="002A36CB">
            <w:pPr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558"/>
        </w:trPr>
        <w:tc>
          <w:tcPr>
            <w:tcW w:w="4225" w:type="dxa"/>
            <w:shd w:val="clear" w:color="auto" w:fill="auto"/>
          </w:tcPr>
          <w:p w:rsidR="005A6CF9" w:rsidRPr="00F37812" w:rsidRDefault="005A6CF9" w:rsidP="00313430">
            <w:pPr>
              <w:ind w:firstLine="0"/>
              <w:jc w:val="left"/>
              <w:rPr>
                <w:i/>
              </w:rPr>
            </w:pPr>
            <w:r w:rsidRPr="00E0571E">
              <w:t>1.</w:t>
            </w:r>
            <w:r>
              <w:t>3</w:t>
            </w:r>
            <w:r w:rsidRPr="00E0571E">
              <w:t xml:space="preserve">. </w:t>
            </w:r>
            <w:r>
              <w:t>Д</w:t>
            </w:r>
            <w:r w:rsidRPr="00FC531D">
              <w:t>оля выпускников образовательной программы, чьи выпускные квалификационные работы нашли практическое применение в профильных организациях, от общего числа выпускников образовательной программы</w:t>
            </w:r>
            <w:r>
              <w:t xml:space="preserve"> за последние три года до аккредитационной экспертизы.</w:t>
            </w:r>
          </w:p>
        </w:tc>
        <w:tc>
          <w:tcPr>
            <w:tcW w:w="1554" w:type="dxa"/>
          </w:tcPr>
          <w:p w:rsidR="005A6CF9" w:rsidRPr="007F4711" w:rsidRDefault="005A6CF9" w:rsidP="008631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F4711">
              <w:rPr>
                <w:b/>
              </w:rPr>
              <w:t>0%</w:t>
            </w:r>
          </w:p>
          <w:p w:rsidR="005A6CF9" w:rsidRPr="00E0571E" w:rsidRDefault="005A6CF9" w:rsidP="008631D5">
            <w:pPr>
              <w:jc w:val="center"/>
            </w:pPr>
          </w:p>
        </w:tc>
        <w:tc>
          <w:tcPr>
            <w:tcW w:w="1579" w:type="dxa"/>
          </w:tcPr>
          <w:p w:rsidR="005A6CF9" w:rsidRDefault="005A6CF9" w:rsidP="002A36CB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Default="005A6CF9" w:rsidP="002A36CB">
            <w:pPr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1246"/>
        </w:trPr>
        <w:tc>
          <w:tcPr>
            <w:tcW w:w="4225" w:type="dxa"/>
            <w:shd w:val="clear" w:color="auto" w:fill="auto"/>
          </w:tcPr>
          <w:p w:rsidR="005A6CF9" w:rsidRPr="004B4035" w:rsidRDefault="005A6CF9" w:rsidP="00684B2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 Доля участников конкурсов профессионального мастерства WorldSkills, «Лучший по профессии», других региональных, федеральных, международных конкурсов по профессиональному мастерству (по аккредитуемой программе) от общего числа выпускников образовательной программы </w:t>
            </w:r>
            <w:r w:rsidRPr="00664758">
              <w:rPr>
                <w:rFonts w:ascii="Times New Roman" w:hAnsi="Times New Roman" w:cs="Times New Roman"/>
                <w:sz w:val="24"/>
                <w:szCs w:val="24"/>
              </w:rPr>
              <w:t>за последние 3 года</w:t>
            </w:r>
          </w:p>
        </w:tc>
        <w:tc>
          <w:tcPr>
            <w:tcW w:w="1554" w:type="dxa"/>
          </w:tcPr>
          <w:p w:rsidR="005A6CF9" w:rsidRPr="00684B27" w:rsidRDefault="005A6CF9" w:rsidP="00684B27">
            <w:pPr>
              <w:ind w:firstLine="0"/>
              <w:jc w:val="center"/>
              <w:rPr>
                <w:b/>
              </w:rPr>
            </w:pPr>
            <w:r w:rsidRPr="00684B27">
              <w:rPr>
                <w:b/>
              </w:rPr>
              <w:t>10%</w:t>
            </w:r>
          </w:p>
        </w:tc>
        <w:tc>
          <w:tcPr>
            <w:tcW w:w="1579" w:type="dxa"/>
          </w:tcPr>
          <w:p w:rsidR="005A6CF9" w:rsidRDefault="005A6CF9" w:rsidP="00684B2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Default="005A6CF9" w:rsidP="00684B27">
            <w:pPr>
              <w:jc w:val="center"/>
              <w:rPr>
                <w:b/>
              </w:rPr>
            </w:pPr>
          </w:p>
        </w:tc>
      </w:tr>
      <w:tr w:rsidR="00542B26" w:rsidRPr="00E0571E" w:rsidTr="00542B26">
        <w:trPr>
          <w:trHeight w:val="1753"/>
        </w:trPr>
        <w:tc>
          <w:tcPr>
            <w:tcW w:w="10334" w:type="dxa"/>
            <w:gridSpan w:val="4"/>
            <w:shd w:val="clear" w:color="auto" w:fill="D9D9D9"/>
          </w:tcPr>
          <w:p w:rsidR="00542B26" w:rsidRDefault="00542B26" w:rsidP="00542B26">
            <w:pPr>
              <w:spacing w:after="2" w:line="255" w:lineRule="auto"/>
              <w:ind w:left="57" w:right="-58" w:firstLine="0"/>
              <w:jc w:val="left"/>
              <w:rPr>
                <w:b/>
              </w:rPr>
            </w:pPr>
            <w:r w:rsidRPr="00DF02E0">
              <w:rPr>
                <w:b/>
              </w:rPr>
              <w:t>2. Соответствие сформулированных в образовательной программе планируемых результатов освоения образовательной программы (выраженных в форме профессиональных компетенций) профессиональным стандартам, иным квалификационным требованиям, установленным федеральными законами и другими нормативными правовыми актами Российской Федерации</w:t>
            </w:r>
          </w:p>
        </w:tc>
      </w:tr>
      <w:tr w:rsidR="005A6CF9" w:rsidRPr="00E0571E" w:rsidTr="00C00423">
        <w:trPr>
          <w:trHeight w:val="1265"/>
        </w:trPr>
        <w:tc>
          <w:tcPr>
            <w:tcW w:w="4225" w:type="dxa"/>
            <w:shd w:val="clear" w:color="auto" w:fill="auto"/>
          </w:tcPr>
          <w:p w:rsidR="005A6CF9" w:rsidRPr="004B4035" w:rsidRDefault="005A6CF9" w:rsidP="00664758">
            <w:pPr>
              <w:snapToGrid w:val="0"/>
              <w:ind w:firstLine="0"/>
            </w:pPr>
            <w:r w:rsidRPr="004B4035">
              <w:t>2.1.</w:t>
            </w:r>
            <w:r>
              <w:t xml:space="preserve"> </w:t>
            </w:r>
            <w:r w:rsidRPr="000769AC">
              <w:t>Доля положений профессиональных стандартов, иных квалификационных требований, установленных федеральными законами и другими нормативными правовыми актами Российской Федерации, соответствующих профессиональной деятельности выпускников, учтенных в составе планируемых результатов освоения образовательной программы в форме</w:t>
            </w:r>
            <w:r w:rsidRPr="00C65DA0">
              <w:t xml:space="preserve"> профессиональных компетенций</w:t>
            </w:r>
            <w:r w:rsidRPr="00A40A78">
              <w:t>.</w:t>
            </w:r>
            <w:r w:rsidRPr="004B4035">
              <w:t xml:space="preserve">    </w:t>
            </w:r>
          </w:p>
        </w:tc>
        <w:tc>
          <w:tcPr>
            <w:tcW w:w="1554" w:type="dxa"/>
            <w:vAlign w:val="center"/>
          </w:tcPr>
          <w:p w:rsidR="005A6CF9" w:rsidRPr="00684B27" w:rsidRDefault="005A6CF9" w:rsidP="00684B27">
            <w:pPr>
              <w:ind w:firstLine="0"/>
              <w:jc w:val="center"/>
              <w:rPr>
                <w:b/>
              </w:rPr>
            </w:pPr>
            <w:r w:rsidRPr="00684B27">
              <w:rPr>
                <w:b/>
              </w:rPr>
              <w:t>90%</w:t>
            </w:r>
          </w:p>
        </w:tc>
        <w:tc>
          <w:tcPr>
            <w:tcW w:w="1579" w:type="dxa"/>
          </w:tcPr>
          <w:p w:rsidR="005A6CF9" w:rsidRDefault="005A6CF9" w:rsidP="00684B27">
            <w:pPr>
              <w:spacing w:after="2" w:line="255" w:lineRule="auto"/>
              <w:ind w:left="57" w:right="-58"/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Default="005A6CF9" w:rsidP="00684B27">
            <w:pPr>
              <w:spacing w:after="2" w:line="255" w:lineRule="auto"/>
              <w:ind w:left="57" w:right="-58"/>
              <w:jc w:val="center"/>
              <w:rPr>
                <w:b/>
              </w:rPr>
            </w:pPr>
          </w:p>
        </w:tc>
      </w:tr>
      <w:tr w:rsidR="00542B26" w:rsidRPr="00E0571E" w:rsidTr="005C0DA3">
        <w:trPr>
          <w:trHeight w:val="982"/>
        </w:trPr>
        <w:tc>
          <w:tcPr>
            <w:tcW w:w="10334" w:type="dxa"/>
            <w:gridSpan w:val="4"/>
            <w:shd w:val="clear" w:color="auto" w:fill="D9D9D9"/>
          </w:tcPr>
          <w:p w:rsidR="00542B26" w:rsidRDefault="00542B26" w:rsidP="00542B26">
            <w:pPr>
              <w:ind w:firstLine="0"/>
              <w:rPr>
                <w:b/>
              </w:rPr>
            </w:pPr>
            <w:r w:rsidRPr="00DF02E0">
              <w:rPr>
                <w:b/>
              </w:rPr>
              <w:t>3. Соответствие учебных планов, рабочих программ учебных предметов, курсов, дисциплин (модулей), оценочных материалов и процедур запланированным результатам освоения образовательной программы (компетенциям и результатам обучения)</w:t>
            </w:r>
          </w:p>
        </w:tc>
      </w:tr>
      <w:tr w:rsidR="005A6CF9" w:rsidRPr="00E0571E" w:rsidTr="00C00423">
        <w:trPr>
          <w:trHeight w:val="982"/>
        </w:trPr>
        <w:tc>
          <w:tcPr>
            <w:tcW w:w="4225" w:type="dxa"/>
            <w:shd w:val="clear" w:color="auto" w:fill="auto"/>
          </w:tcPr>
          <w:p w:rsidR="005A6CF9" w:rsidRPr="00E0571E" w:rsidRDefault="005A6CF9" w:rsidP="00684B2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71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9340B1">
              <w:rPr>
                <w:rFonts w:ascii="Times New Roman" w:hAnsi="Times New Roman" w:cs="Times New Roman"/>
                <w:sz w:val="24"/>
                <w:szCs w:val="24"/>
              </w:rPr>
              <w:t>Доля трудовых действий (трудовых функций) сопрягаемых профессиональных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учтенных в структуре учебного плана </w:t>
            </w:r>
            <w:r w:rsidRPr="001A4E2A">
              <w:rPr>
                <w:rFonts w:ascii="Times New Roman" w:hAnsi="Times New Roman" w:cs="Times New Roman"/>
                <w:sz w:val="24"/>
                <w:szCs w:val="24"/>
              </w:rPr>
              <w:t>в виде профессиональных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дисциплин</w:t>
            </w:r>
          </w:p>
        </w:tc>
        <w:tc>
          <w:tcPr>
            <w:tcW w:w="1554" w:type="dxa"/>
            <w:vAlign w:val="center"/>
          </w:tcPr>
          <w:p w:rsidR="005A6CF9" w:rsidRPr="00684B27" w:rsidRDefault="005A6CF9" w:rsidP="00684B27">
            <w:pPr>
              <w:jc w:val="left"/>
              <w:rPr>
                <w:b/>
              </w:rPr>
            </w:pPr>
            <w:r w:rsidRPr="00684B27">
              <w:rPr>
                <w:b/>
              </w:rPr>
              <w:t>90%</w:t>
            </w:r>
          </w:p>
        </w:tc>
        <w:tc>
          <w:tcPr>
            <w:tcW w:w="1579" w:type="dxa"/>
          </w:tcPr>
          <w:p w:rsidR="005A6CF9" w:rsidRDefault="005A6CF9" w:rsidP="00684B2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Default="005A6CF9" w:rsidP="00684B27">
            <w:pPr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698"/>
        </w:trPr>
        <w:tc>
          <w:tcPr>
            <w:tcW w:w="4225" w:type="dxa"/>
            <w:shd w:val="clear" w:color="auto" w:fill="auto"/>
          </w:tcPr>
          <w:p w:rsidR="005A6CF9" w:rsidRPr="00E0571E" w:rsidRDefault="005A6CF9" w:rsidP="00684B2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71E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положений профессионального стандарта в виде необходимых умений, учтенных в связанных компонентах </w:t>
            </w:r>
            <w:r w:rsidRPr="00E0571E">
              <w:rPr>
                <w:rFonts w:ascii="Times New Roman" w:hAnsi="Times New Roman" w:cs="Times New Roman"/>
                <w:sz w:val="24"/>
                <w:szCs w:val="24"/>
              </w:rPr>
              <w:t>запланированны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0571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0571E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образовательной программы в рабочих программах учебных предметов, курсов, дисциплин, модулей, практик </w:t>
            </w:r>
          </w:p>
        </w:tc>
        <w:tc>
          <w:tcPr>
            <w:tcW w:w="1554" w:type="dxa"/>
            <w:vAlign w:val="center"/>
          </w:tcPr>
          <w:p w:rsidR="005A6CF9" w:rsidRPr="00684B27" w:rsidRDefault="005A6CF9" w:rsidP="00684B27">
            <w:pPr>
              <w:jc w:val="left"/>
              <w:rPr>
                <w:b/>
              </w:rPr>
            </w:pPr>
            <w:r w:rsidRPr="00684B27">
              <w:rPr>
                <w:b/>
              </w:rPr>
              <w:t>80%</w:t>
            </w:r>
          </w:p>
        </w:tc>
        <w:tc>
          <w:tcPr>
            <w:tcW w:w="1579" w:type="dxa"/>
          </w:tcPr>
          <w:p w:rsidR="005A6CF9" w:rsidRDefault="005A6CF9" w:rsidP="00684B2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Default="005A6CF9" w:rsidP="00684B27">
            <w:pPr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1549"/>
        </w:trPr>
        <w:tc>
          <w:tcPr>
            <w:tcW w:w="4225" w:type="dxa"/>
            <w:shd w:val="clear" w:color="auto" w:fill="auto"/>
          </w:tcPr>
          <w:p w:rsidR="005A6CF9" w:rsidRPr="00E16452" w:rsidRDefault="005A6CF9" w:rsidP="00684B2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Доля положений профессионального стандарта в виде необходимых знаний, учтенных в связанных компонентах </w:t>
            </w:r>
            <w:r w:rsidRPr="00E0571E">
              <w:rPr>
                <w:rFonts w:ascii="Times New Roman" w:hAnsi="Times New Roman" w:cs="Times New Roman"/>
                <w:sz w:val="24"/>
                <w:szCs w:val="24"/>
              </w:rPr>
              <w:t>запланированны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0571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0571E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образовательной программы в рабочих программах учебных предметов, курсов, дисциплин, модулей, практик</w:t>
            </w:r>
          </w:p>
        </w:tc>
        <w:tc>
          <w:tcPr>
            <w:tcW w:w="1554" w:type="dxa"/>
            <w:vAlign w:val="center"/>
          </w:tcPr>
          <w:p w:rsidR="005A6CF9" w:rsidRPr="00684B27" w:rsidRDefault="005A6CF9" w:rsidP="00684B27">
            <w:pPr>
              <w:jc w:val="left"/>
              <w:rPr>
                <w:b/>
              </w:rPr>
            </w:pPr>
            <w:r w:rsidRPr="00684B27">
              <w:rPr>
                <w:b/>
              </w:rPr>
              <w:t>80%</w:t>
            </w:r>
          </w:p>
        </w:tc>
        <w:tc>
          <w:tcPr>
            <w:tcW w:w="1579" w:type="dxa"/>
          </w:tcPr>
          <w:p w:rsidR="005A6CF9" w:rsidRDefault="005A6CF9" w:rsidP="00684B2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Default="005A6CF9" w:rsidP="00684B27">
            <w:pPr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982"/>
        </w:trPr>
        <w:tc>
          <w:tcPr>
            <w:tcW w:w="4225" w:type="dxa"/>
            <w:shd w:val="clear" w:color="auto" w:fill="auto"/>
          </w:tcPr>
          <w:p w:rsidR="005A6CF9" w:rsidRPr="00662228" w:rsidRDefault="005A6CF9" w:rsidP="00684B2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положений профессионального стандарта в виде необходимых умений, необходимых знаний и трудовых действий, учтенных в </w:t>
            </w:r>
            <w:r w:rsidRPr="00CA7FA0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7FA0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средств, </w:t>
            </w:r>
            <w:r w:rsidRPr="00CA7F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F8FFA3" wp14:editId="32740375">
                  <wp:extent cx="12065" cy="1206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7FA0">
              <w:rPr>
                <w:rFonts w:ascii="Times New Roman" w:hAnsi="Times New Roman" w:cs="Times New Roman"/>
                <w:sz w:val="24"/>
                <w:szCs w:val="24"/>
              </w:rPr>
              <w:t>используемых при проведении промежуточной и итоговой аттестации</w:t>
            </w:r>
            <w:r w:rsidRPr="0066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5A6CF9" w:rsidRPr="00684B27" w:rsidRDefault="005A6CF9" w:rsidP="00684B27">
            <w:pPr>
              <w:jc w:val="left"/>
              <w:rPr>
                <w:b/>
                <w:noProof/>
              </w:rPr>
            </w:pPr>
            <w:r w:rsidRPr="00684B27">
              <w:rPr>
                <w:b/>
                <w:noProof/>
              </w:rPr>
              <w:t>80%</w:t>
            </w:r>
          </w:p>
        </w:tc>
        <w:tc>
          <w:tcPr>
            <w:tcW w:w="1579" w:type="dxa"/>
          </w:tcPr>
          <w:p w:rsidR="005A6CF9" w:rsidRDefault="005A6CF9" w:rsidP="00684B2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Default="005A6CF9" w:rsidP="00684B27">
            <w:pPr>
              <w:jc w:val="center"/>
              <w:rPr>
                <w:b/>
              </w:rPr>
            </w:pPr>
          </w:p>
        </w:tc>
      </w:tr>
      <w:tr w:rsidR="00542B26" w:rsidRPr="00E0571E" w:rsidTr="00542B26">
        <w:trPr>
          <w:trHeight w:val="1306"/>
        </w:trPr>
        <w:tc>
          <w:tcPr>
            <w:tcW w:w="10334" w:type="dxa"/>
            <w:gridSpan w:val="4"/>
            <w:shd w:val="clear" w:color="auto" w:fill="D9D9D9"/>
          </w:tcPr>
          <w:p w:rsidR="00542B26" w:rsidRDefault="00542B26" w:rsidP="00542B26">
            <w:pPr>
              <w:ind w:firstLine="0"/>
              <w:jc w:val="left"/>
              <w:rPr>
                <w:b/>
              </w:rPr>
            </w:pPr>
            <w:r w:rsidRPr="00DF02E0">
              <w:rPr>
                <w:b/>
              </w:rPr>
              <w:t>4.  Соответствие кадровых, материально-технических, информационно-коммуникационных, учебно-методических и иных ресурсов, непосредственно влияющих на качество подготовки выпускников, содержанию профессиональной деятельности и профессиональным задачам, к которым готовится выпускник</w:t>
            </w:r>
          </w:p>
        </w:tc>
      </w:tr>
      <w:tr w:rsidR="005A6CF9" w:rsidRPr="00E0571E" w:rsidTr="00C00423">
        <w:trPr>
          <w:trHeight w:val="3380"/>
        </w:trPr>
        <w:tc>
          <w:tcPr>
            <w:tcW w:w="4225" w:type="dxa"/>
            <w:shd w:val="clear" w:color="auto" w:fill="auto"/>
          </w:tcPr>
          <w:p w:rsidR="005A6CF9" w:rsidRPr="00DF02E0" w:rsidRDefault="005A6CF9" w:rsidP="008631D5">
            <w:pPr>
              <w:ind w:firstLine="0"/>
              <w:jc w:val="left"/>
              <w:rPr>
                <w:u w:val="single"/>
              </w:rPr>
            </w:pPr>
            <w:r w:rsidRPr="00DF02E0">
              <w:rPr>
                <w:u w:val="single"/>
              </w:rPr>
              <w:t>Показатели по разделу «Материально-технические ресурсы»:</w:t>
            </w:r>
          </w:p>
          <w:p w:rsidR="005A6CF9" w:rsidRPr="00E0571E" w:rsidRDefault="005A6CF9" w:rsidP="008631D5">
            <w:pPr>
              <w:ind w:firstLine="0"/>
              <w:jc w:val="left"/>
              <w:rPr>
                <w:i/>
              </w:rPr>
            </w:pPr>
            <w:r w:rsidRPr="004B4035">
              <w:t>4.1. Доля лабораторий, мастерских, учебно-производственных объектов, оснащенных современными приборами и оборудованием, от общего количества лабораторий, мастерских, учебно-производственных объектов, необходимых для реализации образовательной программы</w:t>
            </w:r>
          </w:p>
        </w:tc>
        <w:tc>
          <w:tcPr>
            <w:tcW w:w="1554" w:type="dxa"/>
          </w:tcPr>
          <w:p w:rsidR="005A6CF9" w:rsidRPr="00E0571E" w:rsidRDefault="005A6CF9" w:rsidP="008631D5">
            <w:pPr>
              <w:ind w:firstLine="0"/>
              <w:jc w:val="center"/>
            </w:pPr>
            <w:r w:rsidRPr="008F1A81">
              <w:rPr>
                <w:b/>
              </w:rPr>
              <w:t>50%</w:t>
            </w:r>
          </w:p>
        </w:tc>
        <w:tc>
          <w:tcPr>
            <w:tcW w:w="1579" w:type="dxa"/>
          </w:tcPr>
          <w:p w:rsidR="005A6CF9" w:rsidRPr="008F1A81" w:rsidRDefault="005A6CF9" w:rsidP="002A36CB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Pr="008F1A81" w:rsidRDefault="005A6CF9" w:rsidP="002A36CB">
            <w:pPr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2258"/>
        </w:trPr>
        <w:tc>
          <w:tcPr>
            <w:tcW w:w="4225" w:type="dxa"/>
            <w:shd w:val="clear" w:color="auto" w:fill="auto"/>
          </w:tcPr>
          <w:p w:rsidR="005A6CF9" w:rsidRPr="00E0571E" w:rsidRDefault="005A6CF9" w:rsidP="008631D5">
            <w:pPr>
              <w:ind w:firstLine="0"/>
              <w:jc w:val="left"/>
            </w:pPr>
            <w:r w:rsidRPr="00E0571E">
              <w:t xml:space="preserve">4.2. </w:t>
            </w:r>
            <w:r w:rsidRPr="004B4035">
              <w:t>Доля трудовых действий (трудовых функций) сопрягаемых профессиональных стандартов в виде профессиональных компетенций, обеспеченных базами для проведения практики, оснащенными современным оборудованием, приборами и специализированными полигонами</w:t>
            </w:r>
          </w:p>
        </w:tc>
        <w:tc>
          <w:tcPr>
            <w:tcW w:w="1554" w:type="dxa"/>
          </w:tcPr>
          <w:p w:rsidR="005A6CF9" w:rsidRPr="00684B27" w:rsidRDefault="005A6CF9" w:rsidP="00684B27">
            <w:pPr>
              <w:ind w:firstLine="0"/>
              <w:jc w:val="center"/>
              <w:rPr>
                <w:b/>
              </w:rPr>
            </w:pPr>
            <w:r w:rsidRPr="00684B27">
              <w:rPr>
                <w:b/>
                <w:noProof/>
              </w:rPr>
              <w:t>80%</w:t>
            </w:r>
          </w:p>
        </w:tc>
        <w:tc>
          <w:tcPr>
            <w:tcW w:w="1579" w:type="dxa"/>
          </w:tcPr>
          <w:p w:rsidR="005A6CF9" w:rsidRDefault="005A6CF9" w:rsidP="002A36CB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Default="005A6CF9" w:rsidP="002A36CB">
            <w:pPr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2257"/>
        </w:trPr>
        <w:tc>
          <w:tcPr>
            <w:tcW w:w="4225" w:type="dxa"/>
            <w:shd w:val="clear" w:color="auto" w:fill="auto"/>
          </w:tcPr>
          <w:p w:rsidR="005A6CF9" w:rsidRPr="001445EE" w:rsidRDefault="005A6CF9" w:rsidP="00684B27">
            <w:pPr>
              <w:ind w:firstLine="0"/>
              <w:jc w:val="left"/>
              <w:rPr>
                <w:b/>
                <w:u w:val="single"/>
              </w:rPr>
            </w:pPr>
            <w:r w:rsidRPr="001445EE">
              <w:rPr>
                <w:b/>
                <w:u w:val="single"/>
              </w:rPr>
              <w:t>Показатели по разделу «Информационно-коммуникационные ресурсы»:</w:t>
            </w:r>
          </w:p>
          <w:p w:rsidR="005A6CF9" w:rsidRDefault="005A6CF9" w:rsidP="00684B27">
            <w:pPr>
              <w:ind w:firstLine="0"/>
              <w:jc w:val="left"/>
            </w:pPr>
            <w:r w:rsidRPr="00E0571E">
              <w:t>4.3. Соответствие всех элементов информационно-коммуникационной инфраструктуры современному уровню</w:t>
            </w:r>
            <w:r>
              <w:t>.</w:t>
            </w:r>
          </w:p>
          <w:p w:rsidR="005A6CF9" w:rsidRPr="00E0571E" w:rsidRDefault="005A6CF9" w:rsidP="00684B27">
            <w:pPr>
              <w:jc w:val="left"/>
            </w:pPr>
          </w:p>
        </w:tc>
        <w:tc>
          <w:tcPr>
            <w:tcW w:w="1554" w:type="dxa"/>
            <w:vAlign w:val="center"/>
          </w:tcPr>
          <w:p w:rsidR="005A6CF9" w:rsidRPr="00684B27" w:rsidRDefault="005A6CF9" w:rsidP="00684B27">
            <w:pPr>
              <w:ind w:firstLine="0"/>
              <w:jc w:val="center"/>
              <w:rPr>
                <w:b/>
                <w:noProof/>
              </w:rPr>
            </w:pPr>
            <w:r w:rsidRPr="00684B27">
              <w:rPr>
                <w:b/>
                <w:noProof/>
              </w:rPr>
              <w:t>да/нет</w:t>
            </w:r>
          </w:p>
        </w:tc>
        <w:tc>
          <w:tcPr>
            <w:tcW w:w="1579" w:type="dxa"/>
          </w:tcPr>
          <w:p w:rsidR="005A6CF9" w:rsidRDefault="005A6CF9" w:rsidP="00684B2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Default="005A6CF9" w:rsidP="00684B27">
            <w:pPr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1123"/>
        </w:trPr>
        <w:tc>
          <w:tcPr>
            <w:tcW w:w="4225" w:type="dxa"/>
            <w:shd w:val="clear" w:color="auto" w:fill="auto"/>
          </w:tcPr>
          <w:p w:rsidR="005A6CF9" w:rsidRPr="00E0571E" w:rsidRDefault="005A6CF9" w:rsidP="00684B27">
            <w:pPr>
              <w:ind w:firstLine="0"/>
              <w:jc w:val="left"/>
            </w:pPr>
            <w:r w:rsidRPr="00E0571E">
              <w:t>4.4. Наличие свободного доступа обучаемых к информационным образовательным ресурсам (профессиональным базам данных и др.), соответствующим направленности аккредитуемой образовательной программы</w:t>
            </w:r>
          </w:p>
        </w:tc>
        <w:tc>
          <w:tcPr>
            <w:tcW w:w="1554" w:type="dxa"/>
            <w:vAlign w:val="center"/>
          </w:tcPr>
          <w:p w:rsidR="005A6CF9" w:rsidRPr="00684B27" w:rsidRDefault="005A6CF9" w:rsidP="00684B27">
            <w:pPr>
              <w:ind w:firstLine="0"/>
              <w:jc w:val="center"/>
              <w:rPr>
                <w:b/>
                <w:noProof/>
              </w:rPr>
            </w:pPr>
            <w:r w:rsidRPr="00684B27">
              <w:rPr>
                <w:b/>
                <w:noProof/>
              </w:rPr>
              <w:t>да/нет</w:t>
            </w:r>
          </w:p>
        </w:tc>
        <w:tc>
          <w:tcPr>
            <w:tcW w:w="1579" w:type="dxa"/>
          </w:tcPr>
          <w:p w:rsidR="005A6CF9" w:rsidRDefault="005A6CF9" w:rsidP="00684B2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Default="005A6CF9" w:rsidP="00684B27">
            <w:pPr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2116"/>
        </w:trPr>
        <w:tc>
          <w:tcPr>
            <w:tcW w:w="4225" w:type="dxa"/>
            <w:shd w:val="clear" w:color="auto" w:fill="auto"/>
          </w:tcPr>
          <w:p w:rsidR="005A6CF9" w:rsidRPr="00DF02E0" w:rsidRDefault="005A6CF9" w:rsidP="008631D5">
            <w:pPr>
              <w:ind w:firstLine="0"/>
              <w:jc w:val="left"/>
              <w:rPr>
                <w:u w:val="single"/>
              </w:rPr>
            </w:pPr>
            <w:r w:rsidRPr="00DF02E0">
              <w:rPr>
                <w:u w:val="single"/>
              </w:rPr>
              <w:lastRenderedPageBreak/>
              <w:t>Показатели по разделу «Учебно-методические ресурсы»:</w:t>
            </w:r>
          </w:p>
          <w:p w:rsidR="005A6CF9" w:rsidRPr="00DF02E0" w:rsidRDefault="005A6CF9" w:rsidP="008631D5">
            <w:pPr>
              <w:ind w:firstLine="0"/>
              <w:jc w:val="left"/>
            </w:pPr>
            <w:r w:rsidRPr="00DF02E0">
              <w:t xml:space="preserve">4.5. Доля учебников и учебно-методических материалов, используемых для освоения общепрофессиональных и специальных дисциплин, профессиональных модулей (включая бумажные и электронные), получивших в течение пяти последних лет положительное заключение экспертов общероссийских и иных объединений работодателей, советов по профессиональным квалификациям, крупнейших компаний, </w:t>
            </w:r>
          </w:p>
        </w:tc>
        <w:tc>
          <w:tcPr>
            <w:tcW w:w="1554" w:type="dxa"/>
          </w:tcPr>
          <w:p w:rsidR="005A6CF9" w:rsidRPr="001445EE" w:rsidRDefault="005A6CF9" w:rsidP="008631D5">
            <w:pPr>
              <w:ind w:firstLine="0"/>
              <w:jc w:val="center"/>
              <w:rPr>
                <w:b/>
              </w:rPr>
            </w:pPr>
            <w:r w:rsidRPr="001445EE">
              <w:rPr>
                <w:b/>
              </w:rPr>
              <w:t>50%</w:t>
            </w:r>
          </w:p>
          <w:p w:rsidR="005A6CF9" w:rsidRPr="00E0571E" w:rsidRDefault="005A6CF9" w:rsidP="008631D5">
            <w:pPr>
              <w:jc w:val="center"/>
            </w:pPr>
          </w:p>
        </w:tc>
        <w:tc>
          <w:tcPr>
            <w:tcW w:w="1579" w:type="dxa"/>
          </w:tcPr>
          <w:p w:rsidR="005A6CF9" w:rsidRPr="001445EE" w:rsidRDefault="005A6CF9" w:rsidP="002A36CB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Pr="001445EE" w:rsidRDefault="005A6CF9" w:rsidP="002A36CB">
            <w:pPr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2957"/>
        </w:trPr>
        <w:tc>
          <w:tcPr>
            <w:tcW w:w="4225" w:type="dxa"/>
            <w:shd w:val="clear" w:color="auto" w:fill="auto"/>
          </w:tcPr>
          <w:p w:rsidR="005A6CF9" w:rsidRPr="00DF02E0" w:rsidRDefault="005A6CF9" w:rsidP="008631D5">
            <w:pPr>
              <w:ind w:firstLine="0"/>
              <w:jc w:val="left"/>
              <w:rPr>
                <w:u w:val="single"/>
              </w:rPr>
            </w:pPr>
            <w:r w:rsidRPr="00DF02E0">
              <w:rPr>
                <w:u w:val="single"/>
              </w:rPr>
              <w:t>Показатели по разделу «</w:t>
            </w:r>
            <w:r w:rsidRPr="00DF02E0">
              <w:rPr>
                <w:bCs/>
                <w:iCs/>
                <w:u w:val="single"/>
              </w:rPr>
              <w:t>Кадровые ресурсы»:</w:t>
            </w:r>
          </w:p>
          <w:p w:rsidR="005A6CF9" w:rsidRPr="00DF02E0" w:rsidRDefault="005A6CF9" w:rsidP="008631D5">
            <w:pPr>
              <w:ind w:firstLine="0"/>
              <w:jc w:val="left"/>
            </w:pPr>
            <w:r w:rsidRPr="00DF02E0">
              <w:t xml:space="preserve">4.6. Доля педагогических работников, прошедших повышение квалификации (переподготовку) в профильных организациях (в соответствии с содержанием профессиональной деятельности, к которой готовятся выпускники аккредитуемой образовательной программы) </w:t>
            </w:r>
          </w:p>
        </w:tc>
        <w:tc>
          <w:tcPr>
            <w:tcW w:w="1554" w:type="dxa"/>
          </w:tcPr>
          <w:p w:rsidR="005A6CF9" w:rsidRPr="00B335AC" w:rsidRDefault="005A6CF9" w:rsidP="008631D5">
            <w:pPr>
              <w:ind w:firstLine="0"/>
              <w:jc w:val="center"/>
              <w:rPr>
                <w:b/>
              </w:rPr>
            </w:pPr>
            <w:r w:rsidRPr="00B335AC">
              <w:rPr>
                <w:b/>
              </w:rPr>
              <w:t>70%</w:t>
            </w:r>
          </w:p>
        </w:tc>
        <w:tc>
          <w:tcPr>
            <w:tcW w:w="1579" w:type="dxa"/>
          </w:tcPr>
          <w:p w:rsidR="005A6CF9" w:rsidRPr="00B335AC" w:rsidRDefault="005A6CF9" w:rsidP="002A36CB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Pr="00B335AC" w:rsidRDefault="005A6CF9" w:rsidP="002A36CB">
            <w:pPr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1045"/>
        </w:trPr>
        <w:tc>
          <w:tcPr>
            <w:tcW w:w="4225" w:type="dxa"/>
            <w:shd w:val="clear" w:color="auto" w:fill="auto"/>
          </w:tcPr>
          <w:p w:rsidR="005A6CF9" w:rsidRDefault="005A6CF9" w:rsidP="008631D5">
            <w:pPr>
              <w:ind w:firstLine="0"/>
              <w:jc w:val="left"/>
            </w:pPr>
            <w:r w:rsidRPr="00E0571E">
              <w:t xml:space="preserve">4.7. </w:t>
            </w:r>
            <w:r w:rsidRPr="004B4035">
              <w:t>Доля педагогических работников, имеющих не менее, чем 5-ти летний стаж профессиональной деятельности, соответствующий профилю аккредитуемой образовательной программы</w:t>
            </w:r>
          </w:p>
          <w:p w:rsidR="005A6CF9" w:rsidRPr="00E0571E" w:rsidRDefault="005A6CF9" w:rsidP="008631D5">
            <w:pPr>
              <w:jc w:val="left"/>
            </w:pPr>
          </w:p>
        </w:tc>
        <w:tc>
          <w:tcPr>
            <w:tcW w:w="1554" w:type="dxa"/>
          </w:tcPr>
          <w:p w:rsidR="005A6CF9" w:rsidRPr="00B335AC" w:rsidRDefault="005A6CF9" w:rsidP="008631D5">
            <w:pPr>
              <w:ind w:firstLine="0"/>
              <w:jc w:val="center"/>
              <w:rPr>
                <w:b/>
                <w:highlight w:val="yellow"/>
              </w:rPr>
            </w:pPr>
            <w:r w:rsidRPr="00B335AC">
              <w:rPr>
                <w:b/>
              </w:rPr>
              <w:t>100%</w:t>
            </w:r>
          </w:p>
        </w:tc>
        <w:tc>
          <w:tcPr>
            <w:tcW w:w="1579" w:type="dxa"/>
          </w:tcPr>
          <w:p w:rsidR="005A6CF9" w:rsidRPr="00B335AC" w:rsidRDefault="005A6CF9" w:rsidP="002A36CB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Pr="00B335AC" w:rsidRDefault="005A6CF9" w:rsidP="002A36CB">
            <w:pPr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1045"/>
        </w:trPr>
        <w:tc>
          <w:tcPr>
            <w:tcW w:w="4225" w:type="dxa"/>
            <w:shd w:val="clear" w:color="auto" w:fill="auto"/>
          </w:tcPr>
          <w:p w:rsidR="005A6CF9" w:rsidRPr="00E0571E" w:rsidRDefault="005A6CF9" w:rsidP="008631D5">
            <w:pPr>
              <w:ind w:firstLine="0"/>
              <w:jc w:val="left"/>
            </w:pPr>
            <w:r w:rsidRPr="00E0571E">
              <w:t>4.8. Доля преподавателей, совмещающих педагогическую деятельность как основную с работой в отрасли по профилю образовательной программы</w:t>
            </w:r>
          </w:p>
        </w:tc>
        <w:tc>
          <w:tcPr>
            <w:tcW w:w="1554" w:type="dxa"/>
          </w:tcPr>
          <w:p w:rsidR="005A6CF9" w:rsidRPr="00E0571E" w:rsidRDefault="005A6CF9" w:rsidP="008631D5">
            <w:pPr>
              <w:ind w:firstLine="0"/>
              <w:jc w:val="center"/>
            </w:pPr>
            <w:r w:rsidRPr="00B335AC">
              <w:rPr>
                <w:b/>
              </w:rPr>
              <w:t>25%</w:t>
            </w:r>
          </w:p>
        </w:tc>
        <w:tc>
          <w:tcPr>
            <w:tcW w:w="1579" w:type="dxa"/>
          </w:tcPr>
          <w:p w:rsidR="005A6CF9" w:rsidRPr="00B335AC" w:rsidRDefault="005A6CF9" w:rsidP="002A36CB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Pr="00B335AC" w:rsidRDefault="005A6CF9" w:rsidP="002A36CB">
            <w:pPr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1045"/>
        </w:trPr>
        <w:tc>
          <w:tcPr>
            <w:tcW w:w="4225" w:type="dxa"/>
            <w:shd w:val="clear" w:color="auto" w:fill="auto"/>
          </w:tcPr>
          <w:p w:rsidR="005A6CF9" w:rsidRPr="00E0571E" w:rsidRDefault="005A6CF9" w:rsidP="008631D5">
            <w:pPr>
              <w:ind w:firstLine="0"/>
              <w:jc w:val="left"/>
            </w:pPr>
            <w:r>
              <w:t xml:space="preserve">4.9. </w:t>
            </w:r>
            <w:r w:rsidRPr="004B4035">
              <w:t>Доля совместителей из числа действующих работников профильных организаций от общего числа преподавателей</w:t>
            </w:r>
          </w:p>
        </w:tc>
        <w:tc>
          <w:tcPr>
            <w:tcW w:w="1554" w:type="dxa"/>
          </w:tcPr>
          <w:p w:rsidR="005A6CF9" w:rsidRPr="00B335AC" w:rsidRDefault="005A6CF9" w:rsidP="008631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335AC">
              <w:rPr>
                <w:b/>
              </w:rPr>
              <w:t>5%</w:t>
            </w:r>
          </w:p>
        </w:tc>
        <w:tc>
          <w:tcPr>
            <w:tcW w:w="1579" w:type="dxa"/>
          </w:tcPr>
          <w:p w:rsidR="005A6CF9" w:rsidRDefault="005A6CF9" w:rsidP="002A36CB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Default="005A6CF9" w:rsidP="002A36CB">
            <w:pPr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1045"/>
        </w:trPr>
        <w:tc>
          <w:tcPr>
            <w:tcW w:w="4225" w:type="dxa"/>
            <w:shd w:val="clear" w:color="auto" w:fill="auto"/>
          </w:tcPr>
          <w:p w:rsidR="005A6CF9" w:rsidRDefault="005A6CF9" w:rsidP="000B49F5">
            <w:pPr>
              <w:ind w:firstLine="0"/>
              <w:jc w:val="left"/>
            </w:pPr>
            <w:r>
              <w:t>4.10. Н</w:t>
            </w:r>
            <w:r w:rsidRPr="001445EE">
              <w:t>аличие действующих документов, отражающих политику организации в области формирования и развития кадрового резерва образовательной программы</w:t>
            </w:r>
          </w:p>
        </w:tc>
        <w:tc>
          <w:tcPr>
            <w:tcW w:w="1554" w:type="dxa"/>
            <w:vAlign w:val="center"/>
          </w:tcPr>
          <w:p w:rsidR="005A6CF9" w:rsidRPr="00684B27" w:rsidRDefault="005A6CF9" w:rsidP="000B49F5">
            <w:pPr>
              <w:ind w:firstLine="0"/>
              <w:jc w:val="center"/>
              <w:rPr>
                <w:b/>
                <w:noProof/>
              </w:rPr>
            </w:pPr>
            <w:r w:rsidRPr="00684B27">
              <w:rPr>
                <w:b/>
                <w:noProof/>
              </w:rPr>
              <w:t>да/нет</w:t>
            </w:r>
          </w:p>
        </w:tc>
        <w:tc>
          <w:tcPr>
            <w:tcW w:w="1579" w:type="dxa"/>
          </w:tcPr>
          <w:p w:rsidR="005A6CF9" w:rsidRDefault="005A6CF9" w:rsidP="000B49F5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Default="005A6CF9" w:rsidP="000B49F5">
            <w:pPr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840"/>
        </w:trPr>
        <w:tc>
          <w:tcPr>
            <w:tcW w:w="4225" w:type="dxa"/>
            <w:shd w:val="clear" w:color="auto" w:fill="auto"/>
          </w:tcPr>
          <w:p w:rsidR="005A6CF9" w:rsidRPr="00E0571E" w:rsidRDefault="005A6CF9" w:rsidP="000B49F5">
            <w:pPr>
              <w:ind w:firstLine="0"/>
              <w:jc w:val="left"/>
            </w:pPr>
            <w:r w:rsidRPr="00E0571E">
              <w:t>4.</w:t>
            </w:r>
            <w:r>
              <w:t>11.</w:t>
            </w:r>
            <w:r w:rsidRPr="00E0571E">
              <w:t xml:space="preserve"> Наличие системы ключевых показателей эффективности педагогических работников, связанных с результатами оценки квалификации выпускников</w:t>
            </w:r>
          </w:p>
        </w:tc>
        <w:tc>
          <w:tcPr>
            <w:tcW w:w="1554" w:type="dxa"/>
            <w:vAlign w:val="center"/>
          </w:tcPr>
          <w:p w:rsidR="005A6CF9" w:rsidRPr="00684B27" w:rsidRDefault="005A6CF9" w:rsidP="000B49F5">
            <w:pPr>
              <w:ind w:firstLine="0"/>
              <w:jc w:val="center"/>
              <w:rPr>
                <w:b/>
                <w:noProof/>
              </w:rPr>
            </w:pPr>
            <w:r w:rsidRPr="00684B27">
              <w:rPr>
                <w:b/>
                <w:noProof/>
              </w:rPr>
              <w:t>да/нет</w:t>
            </w:r>
          </w:p>
        </w:tc>
        <w:tc>
          <w:tcPr>
            <w:tcW w:w="1579" w:type="dxa"/>
          </w:tcPr>
          <w:p w:rsidR="005A6CF9" w:rsidRDefault="005A6CF9" w:rsidP="000B49F5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Default="005A6CF9" w:rsidP="000B49F5">
            <w:pPr>
              <w:jc w:val="center"/>
              <w:rPr>
                <w:b/>
              </w:rPr>
            </w:pPr>
          </w:p>
        </w:tc>
      </w:tr>
      <w:tr w:rsidR="00542B26" w:rsidRPr="00E0571E" w:rsidTr="00542B26">
        <w:trPr>
          <w:trHeight w:val="840"/>
        </w:trPr>
        <w:tc>
          <w:tcPr>
            <w:tcW w:w="10334" w:type="dxa"/>
            <w:gridSpan w:val="4"/>
            <w:shd w:val="clear" w:color="auto" w:fill="D9D9D9"/>
          </w:tcPr>
          <w:p w:rsidR="00542B26" w:rsidRPr="00B335AC" w:rsidRDefault="00542B26" w:rsidP="00542B26">
            <w:pPr>
              <w:ind w:firstLine="0"/>
              <w:jc w:val="left"/>
              <w:rPr>
                <w:b/>
              </w:rPr>
            </w:pPr>
            <w:r w:rsidRPr="00DF02E0">
              <w:rPr>
                <w:b/>
              </w:rPr>
              <w:lastRenderedPageBreak/>
              <w:t>5. Наличие спроса на образовательную программу, востребованность выпускников профессиональной образовательной программы работодателями</w:t>
            </w:r>
          </w:p>
        </w:tc>
      </w:tr>
      <w:tr w:rsidR="005A6CF9" w:rsidRPr="00E0571E" w:rsidTr="00C00423">
        <w:trPr>
          <w:trHeight w:val="1469"/>
        </w:trPr>
        <w:tc>
          <w:tcPr>
            <w:tcW w:w="4225" w:type="dxa"/>
            <w:shd w:val="clear" w:color="auto" w:fill="auto"/>
          </w:tcPr>
          <w:p w:rsidR="005A6CF9" w:rsidRPr="00B335AC" w:rsidRDefault="005A6CF9" w:rsidP="00664758">
            <w:pPr>
              <w:ind w:firstLine="0"/>
              <w:jc w:val="left"/>
              <w:rPr>
                <w:b/>
                <w:i/>
              </w:rPr>
            </w:pPr>
            <w:r w:rsidRPr="00DF02E0">
              <w:t>5.1. Доля выпускников образовательной программы, обучавшихся на основании договоров об образовании за счет средств юридических лиц, заключенных между организацией, осуществляющей образовательную деятельность по аккредитуемой образовательной программе, и работодателями</w:t>
            </w:r>
            <w:r>
              <w:t xml:space="preserve"> </w:t>
            </w:r>
            <w:r w:rsidRPr="00BE0CC9">
              <w:t>за последние три года до аккредитационной экспертизы</w:t>
            </w:r>
          </w:p>
        </w:tc>
        <w:tc>
          <w:tcPr>
            <w:tcW w:w="1554" w:type="dxa"/>
          </w:tcPr>
          <w:p w:rsidR="005A6CF9" w:rsidRPr="00B335AC" w:rsidRDefault="005A6CF9" w:rsidP="008631D5">
            <w:pPr>
              <w:ind w:firstLine="0"/>
              <w:jc w:val="center"/>
              <w:rPr>
                <w:b/>
              </w:rPr>
            </w:pPr>
            <w:r w:rsidRPr="00B335AC">
              <w:rPr>
                <w:b/>
              </w:rPr>
              <w:t>15%</w:t>
            </w:r>
          </w:p>
        </w:tc>
        <w:tc>
          <w:tcPr>
            <w:tcW w:w="1579" w:type="dxa"/>
          </w:tcPr>
          <w:p w:rsidR="005A6CF9" w:rsidRPr="00B335AC" w:rsidRDefault="005A6CF9" w:rsidP="002A36CB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Pr="00B335AC" w:rsidRDefault="005A6CF9" w:rsidP="002A36CB">
            <w:pPr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1152"/>
        </w:trPr>
        <w:tc>
          <w:tcPr>
            <w:tcW w:w="4225" w:type="dxa"/>
            <w:shd w:val="clear" w:color="auto" w:fill="auto"/>
          </w:tcPr>
          <w:p w:rsidR="005A6CF9" w:rsidRPr="00E0571E" w:rsidRDefault="005A6CF9" w:rsidP="008631D5">
            <w:pPr>
              <w:ind w:firstLine="0"/>
              <w:jc w:val="left"/>
            </w:pPr>
            <w:r w:rsidRPr="00E0571E">
              <w:t>5.2. Доля обучающихся по образовательной программе лиц, трудоустроившихся по итогам прохождения практики или стажировки в те компании (организации), в которых проходили практику, стажировку</w:t>
            </w:r>
            <w:r>
              <w:t xml:space="preserve">, </w:t>
            </w:r>
            <w:r w:rsidRPr="001445EE">
              <w:t xml:space="preserve">от общего числа обучающихся по образовательной программе </w:t>
            </w:r>
            <w:r w:rsidRPr="00BE0CC9">
              <w:t>за последние три года до аккредитационной экспертизы</w:t>
            </w:r>
          </w:p>
        </w:tc>
        <w:tc>
          <w:tcPr>
            <w:tcW w:w="1554" w:type="dxa"/>
          </w:tcPr>
          <w:p w:rsidR="005A6CF9" w:rsidRPr="00E0571E" w:rsidRDefault="005A6CF9" w:rsidP="008631D5">
            <w:pPr>
              <w:tabs>
                <w:tab w:val="left" w:pos="1559"/>
              </w:tabs>
              <w:autoSpaceDE w:val="0"/>
              <w:ind w:firstLine="0"/>
              <w:jc w:val="center"/>
            </w:pPr>
            <w:r w:rsidRPr="00B335AC">
              <w:rPr>
                <w:b/>
              </w:rPr>
              <w:t>15%</w:t>
            </w:r>
          </w:p>
        </w:tc>
        <w:tc>
          <w:tcPr>
            <w:tcW w:w="1579" w:type="dxa"/>
          </w:tcPr>
          <w:p w:rsidR="005A6CF9" w:rsidRPr="00B335AC" w:rsidRDefault="005A6CF9" w:rsidP="002A36CB">
            <w:pPr>
              <w:tabs>
                <w:tab w:val="left" w:pos="1559"/>
              </w:tabs>
              <w:autoSpaceDE w:val="0"/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Pr="00B335AC" w:rsidRDefault="005A6CF9" w:rsidP="002A36CB">
            <w:pPr>
              <w:tabs>
                <w:tab w:val="left" w:pos="1559"/>
              </w:tabs>
              <w:autoSpaceDE w:val="0"/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1152"/>
        </w:trPr>
        <w:tc>
          <w:tcPr>
            <w:tcW w:w="4225" w:type="dxa"/>
            <w:shd w:val="clear" w:color="auto" w:fill="auto"/>
          </w:tcPr>
          <w:p w:rsidR="005A6CF9" w:rsidRPr="00E0571E" w:rsidRDefault="005A6CF9" w:rsidP="000B49F5">
            <w:pPr>
              <w:ind w:firstLine="0"/>
              <w:jc w:val="left"/>
            </w:pPr>
            <w:r w:rsidRPr="00E0571E">
              <w:t xml:space="preserve">5.3. Наличие информации, подтверждающей закрепляемость на рабочем месте (в соответствии с освоенными в рамках аккредитуемой образовательной программы компетенциями) и карьерный рост выпускников </w:t>
            </w:r>
            <w:r w:rsidRPr="00BE0CC9">
              <w:t>за последние три года до аккредитационной экспертизы</w:t>
            </w:r>
          </w:p>
        </w:tc>
        <w:tc>
          <w:tcPr>
            <w:tcW w:w="1554" w:type="dxa"/>
            <w:vAlign w:val="center"/>
          </w:tcPr>
          <w:p w:rsidR="005A6CF9" w:rsidRPr="00684B27" w:rsidRDefault="005A6CF9" w:rsidP="000B49F5">
            <w:pPr>
              <w:ind w:firstLine="0"/>
              <w:jc w:val="center"/>
              <w:rPr>
                <w:b/>
                <w:noProof/>
              </w:rPr>
            </w:pPr>
            <w:r w:rsidRPr="00684B27">
              <w:rPr>
                <w:b/>
                <w:noProof/>
              </w:rPr>
              <w:t>да/нет</w:t>
            </w:r>
          </w:p>
        </w:tc>
        <w:tc>
          <w:tcPr>
            <w:tcW w:w="1579" w:type="dxa"/>
          </w:tcPr>
          <w:p w:rsidR="005A6CF9" w:rsidRPr="00E152A4" w:rsidRDefault="005A6CF9" w:rsidP="000B49F5">
            <w:pPr>
              <w:tabs>
                <w:tab w:val="left" w:pos="1559"/>
              </w:tabs>
              <w:autoSpaceDE w:val="0"/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Pr="00E152A4" w:rsidRDefault="005A6CF9" w:rsidP="000B49F5">
            <w:pPr>
              <w:tabs>
                <w:tab w:val="left" w:pos="1559"/>
              </w:tabs>
              <w:autoSpaceDE w:val="0"/>
              <w:jc w:val="center"/>
              <w:rPr>
                <w:b/>
              </w:rPr>
            </w:pPr>
          </w:p>
        </w:tc>
      </w:tr>
      <w:tr w:rsidR="005A6CF9" w:rsidRPr="00E0571E" w:rsidTr="00C00423">
        <w:trPr>
          <w:trHeight w:val="1180"/>
        </w:trPr>
        <w:tc>
          <w:tcPr>
            <w:tcW w:w="4225" w:type="dxa"/>
            <w:shd w:val="clear" w:color="auto" w:fill="auto"/>
          </w:tcPr>
          <w:p w:rsidR="005A6CF9" w:rsidRPr="00E0571E" w:rsidRDefault="005A6CF9" w:rsidP="000B49F5">
            <w:pPr>
              <w:ind w:firstLine="0"/>
              <w:jc w:val="left"/>
              <w:rPr>
                <w:i/>
              </w:rPr>
            </w:pPr>
            <w:r w:rsidRPr="00E0571E">
              <w:t xml:space="preserve">5.4. Наличие документов, содержащих позитивную информацию от работодателей об </w:t>
            </w:r>
            <w:r>
              <w:rPr>
                <w:noProof/>
                <w:lang w:eastAsia="ru-RU"/>
              </w:rPr>
              <w:drawing>
                <wp:inline distT="0" distB="0" distL="0" distR="0" wp14:anchorId="27B56111" wp14:editId="7459A08A">
                  <wp:extent cx="10795" cy="1079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71E">
              <w:t xml:space="preserve">эффективности и качестве работы выпускников, освоивших аккредитуемую образовательную программу, </w:t>
            </w:r>
            <w:r w:rsidRPr="00BE0CC9">
              <w:t>за последние три года до аккредитационной экспертизы</w:t>
            </w:r>
          </w:p>
        </w:tc>
        <w:tc>
          <w:tcPr>
            <w:tcW w:w="1554" w:type="dxa"/>
            <w:vAlign w:val="center"/>
          </w:tcPr>
          <w:p w:rsidR="005A6CF9" w:rsidRPr="00684B27" w:rsidRDefault="005A6CF9" w:rsidP="000B49F5">
            <w:pPr>
              <w:ind w:firstLine="0"/>
              <w:jc w:val="center"/>
              <w:rPr>
                <w:b/>
                <w:noProof/>
              </w:rPr>
            </w:pPr>
            <w:r w:rsidRPr="00684B27">
              <w:rPr>
                <w:b/>
                <w:noProof/>
              </w:rPr>
              <w:t>да/нет</w:t>
            </w:r>
          </w:p>
        </w:tc>
        <w:tc>
          <w:tcPr>
            <w:tcW w:w="1579" w:type="dxa"/>
          </w:tcPr>
          <w:p w:rsidR="005A6CF9" w:rsidRPr="00E152A4" w:rsidRDefault="005A6CF9" w:rsidP="000B49F5">
            <w:pPr>
              <w:tabs>
                <w:tab w:val="left" w:pos="1559"/>
              </w:tabs>
              <w:autoSpaceDE w:val="0"/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Pr="00E152A4" w:rsidRDefault="005A6CF9" w:rsidP="000B49F5">
            <w:pPr>
              <w:tabs>
                <w:tab w:val="left" w:pos="1559"/>
              </w:tabs>
              <w:autoSpaceDE w:val="0"/>
              <w:jc w:val="center"/>
              <w:rPr>
                <w:b/>
              </w:rPr>
            </w:pPr>
          </w:p>
        </w:tc>
      </w:tr>
      <w:tr w:rsidR="00542B26" w:rsidRPr="00E0571E" w:rsidTr="00542B26">
        <w:trPr>
          <w:trHeight w:val="2683"/>
        </w:trPr>
        <w:tc>
          <w:tcPr>
            <w:tcW w:w="10334" w:type="dxa"/>
            <w:gridSpan w:val="4"/>
            <w:shd w:val="clear" w:color="auto" w:fill="D9D9D9"/>
          </w:tcPr>
          <w:p w:rsidR="00542B26" w:rsidRPr="00DF02E0" w:rsidRDefault="00542B26" w:rsidP="008631D5">
            <w:pPr>
              <w:numPr>
                <w:ilvl w:val="0"/>
                <w:numId w:val="17"/>
              </w:numPr>
              <w:suppressAutoHyphens w:val="0"/>
              <w:ind w:left="0" w:hanging="326"/>
              <w:jc w:val="left"/>
              <w:rPr>
                <w:b/>
              </w:rPr>
            </w:pPr>
            <w:r w:rsidRPr="00DF02E0">
              <w:rPr>
                <w:b/>
              </w:rPr>
              <w:t>6. Подтвержденное участие работодателей:</w:t>
            </w:r>
          </w:p>
          <w:p w:rsidR="00542B26" w:rsidRPr="00DF02E0" w:rsidRDefault="00542B26" w:rsidP="008631D5">
            <w:pPr>
              <w:numPr>
                <w:ilvl w:val="0"/>
                <w:numId w:val="17"/>
              </w:numPr>
              <w:suppressAutoHyphens w:val="0"/>
              <w:ind w:left="0" w:hanging="326"/>
              <w:jc w:val="left"/>
              <w:rPr>
                <w:b/>
              </w:rPr>
            </w:pPr>
            <w:r w:rsidRPr="00DF02E0">
              <w:rPr>
                <w:b/>
              </w:rPr>
              <w:t>- в проектировании образовательной программы, включая планируемые результаты ее освоения, оценочные материалы, учебные планы, рабочие программы;</w:t>
            </w:r>
          </w:p>
          <w:p w:rsidR="00542B26" w:rsidRPr="00DF02E0" w:rsidRDefault="00542B26" w:rsidP="008631D5">
            <w:pPr>
              <w:numPr>
                <w:ilvl w:val="0"/>
                <w:numId w:val="17"/>
              </w:numPr>
              <w:suppressAutoHyphens w:val="0"/>
              <w:ind w:left="0" w:hanging="326"/>
              <w:jc w:val="left"/>
              <w:rPr>
                <w:b/>
              </w:rPr>
            </w:pPr>
            <w:r w:rsidRPr="00DF02E0">
              <w:rPr>
                <w:b/>
              </w:rPr>
              <w:t>- в организации проектной работы обучающихся;</w:t>
            </w:r>
          </w:p>
          <w:p w:rsidR="00542B26" w:rsidRPr="00DF02E0" w:rsidRDefault="00542B26" w:rsidP="008631D5">
            <w:pPr>
              <w:numPr>
                <w:ilvl w:val="0"/>
                <w:numId w:val="17"/>
              </w:numPr>
              <w:suppressAutoHyphens w:val="0"/>
              <w:ind w:left="0" w:hanging="326"/>
              <w:jc w:val="left"/>
              <w:rPr>
                <w:b/>
              </w:rPr>
            </w:pPr>
            <w:r w:rsidRPr="00DF02E0">
              <w:rPr>
                <w:b/>
              </w:rPr>
              <w:t>- в разработке и реализации программ практики, формировании планируемых результатов их прохождения;</w:t>
            </w:r>
          </w:p>
          <w:p w:rsidR="00542B26" w:rsidRDefault="00542B26" w:rsidP="00542B26">
            <w:pPr>
              <w:ind w:firstLine="0"/>
              <w:rPr>
                <w:b/>
              </w:rPr>
            </w:pPr>
            <w:r w:rsidRPr="00DF02E0">
              <w:rPr>
                <w:b/>
              </w:rPr>
              <w:t>- в разработке тем выпускных квалификационных работ, значимых для соответствующих областей профессиональной деятельности.</w:t>
            </w:r>
          </w:p>
        </w:tc>
      </w:tr>
      <w:tr w:rsidR="005A6CF9" w:rsidRPr="00E0571E" w:rsidTr="00C00423">
        <w:trPr>
          <w:trHeight w:val="4100"/>
        </w:trPr>
        <w:tc>
          <w:tcPr>
            <w:tcW w:w="4225" w:type="dxa"/>
            <w:shd w:val="clear" w:color="auto" w:fill="auto"/>
          </w:tcPr>
          <w:p w:rsidR="005A6CF9" w:rsidRPr="008631D5" w:rsidRDefault="005A6CF9" w:rsidP="008631D5">
            <w:pPr>
              <w:ind w:firstLine="0"/>
              <w:jc w:val="left"/>
            </w:pPr>
            <w:r w:rsidRPr="008631D5">
              <w:lastRenderedPageBreak/>
              <w:t xml:space="preserve">6.1. Доля рабочих программ учебных предметов, курсов, дисциплин (модулей), оценочных материалов, в проектировании и (или) экспертизе которых участвовали эксперты (экспертные организации) объединений работодателей, советов по профессиональным квалификациям, крупных и средних компаний, от общего числа составляющих профессиональную образовательную программу рабочих программ, учебных предметов, курсов, дисциплин (модулей) </w:t>
            </w:r>
          </w:p>
          <w:p w:rsidR="005A6CF9" w:rsidRPr="00E0571E" w:rsidRDefault="005A6CF9" w:rsidP="008631D5">
            <w:pPr>
              <w:jc w:val="left"/>
            </w:pPr>
          </w:p>
        </w:tc>
        <w:tc>
          <w:tcPr>
            <w:tcW w:w="1554" w:type="dxa"/>
          </w:tcPr>
          <w:p w:rsidR="005A6CF9" w:rsidRPr="00A80316" w:rsidRDefault="005A6CF9" w:rsidP="008631D5">
            <w:pPr>
              <w:ind w:firstLine="0"/>
              <w:jc w:val="center"/>
              <w:rPr>
                <w:b/>
              </w:rPr>
            </w:pPr>
            <w:r w:rsidRPr="00A80316">
              <w:rPr>
                <w:b/>
              </w:rPr>
              <w:t>70%</w:t>
            </w:r>
          </w:p>
        </w:tc>
        <w:tc>
          <w:tcPr>
            <w:tcW w:w="1579" w:type="dxa"/>
          </w:tcPr>
          <w:p w:rsidR="005A6CF9" w:rsidRPr="00A80316" w:rsidRDefault="005A6CF9" w:rsidP="002A36CB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A6CF9" w:rsidRPr="00A80316" w:rsidRDefault="005A6CF9" w:rsidP="002A36CB">
            <w:pPr>
              <w:jc w:val="center"/>
              <w:rPr>
                <w:b/>
              </w:rPr>
            </w:pPr>
          </w:p>
        </w:tc>
      </w:tr>
    </w:tbl>
    <w:p w:rsidR="00DF02E0" w:rsidRDefault="00DF02E0" w:rsidP="00DF02E0">
      <w:pPr>
        <w:pStyle w:val="25"/>
        <w:shd w:val="clear" w:color="auto" w:fill="auto"/>
        <w:spacing w:before="0" w:after="0" w:line="240" w:lineRule="auto"/>
        <w:rPr>
          <w:sz w:val="24"/>
          <w:szCs w:val="24"/>
        </w:rPr>
        <w:sectPr w:rsidR="00DF02E0" w:rsidSect="008631D5">
          <w:pgSz w:w="11900" w:h="16840"/>
          <w:pgMar w:top="1134" w:right="567" w:bottom="567" w:left="1134" w:header="0" w:footer="6" w:gutter="0"/>
          <w:cols w:space="720"/>
          <w:noEndnote/>
          <w:docGrid w:linePitch="360"/>
        </w:sectPr>
      </w:pPr>
    </w:p>
    <w:p w:rsidR="0047570A" w:rsidRDefault="0047570A" w:rsidP="0047570A">
      <w:pPr>
        <w:ind w:firstLine="0"/>
        <w:jc w:val="left"/>
        <w:rPr>
          <w:b/>
        </w:rPr>
      </w:pPr>
    </w:p>
    <w:p w:rsidR="00DF02E0" w:rsidRDefault="00DF02E0" w:rsidP="0047570A">
      <w:pPr>
        <w:ind w:firstLine="0"/>
        <w:jc w:val="left"/>
        <w:rPr>
          <w:b/>
        </w:rPr>
      </w:pPr>
    </w:p>
    <w:p w:rsidR="0047570A" w:rsidRPr="006B1C7A" w:rsidRDefault="006B1C7A" w:rsidP="0047570A">
      <w:pPr>
        <w:ind w:firstLine="0"/>
        <w:jc w:val="left"/>
        <w:rPr>
          <w:b/>
        </w:rPr>
      </w:pPr>
      <w:r w:rsidRPr="006B1C7A">
        <w:rPr>
          <w:b/>
        </w:rPr>
        <w:t>4. Заключение</w:t>
      </w:r>
    </w:p>
    <w:p w:rsidR="00F66CC6" w:rsidRDefault="00F66CC6" w:rsidP="0047570A">
      <w:pPr>
        <w:ind w:firstLine="0"/>
        <w:jc w:val="left"/>
      </w:pPr>
    </w:p>
    <w:p w:rsidR="006B1C7A" w:rsidRDefault="006B1C7A" w:rsidP="0047570A">
      <w:pPr>
        <w:ind w:firstLine="0"/>
        <w:jc w:val="left"/>
      </w:pPr>
      <w:r>
        <w:t xml:space="preserve">4.1. </w:t>
      </w:r>
      <w:r w:rsidR="009D0484">
        <w:t xml:space="preserve">Характеристики сильных сторон </w:t>
      </w:r>
      <w:r w:rsidR="00F66CC6">
        <w:t xml:space="preserve">аккредитуемой </w:t>
      </w:r>
      <w:r w:rsidR="009D0484">
        <w:t>программы</w:t>
      </w:r>
      <w:r w:rsidR="00F66CC6">
        <w:t>:</w:t>
      </w:r>
    </w:p>
    <w:p w:rsidR="009D0484" w:rsidRDefault="009D0484" w:rsidP="0047570A">
      <w:pPr>
        <w:ind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6CC6" w:rsidRDefault="00F66CC6" w:rsidP="0047570A">
      <w:pPr>
        <w:ind w:firstLine="0"/>
        <w:jc w:val="left"/>
      </w:pPr>
    </w:p>
    <w:p w:rsidR="00F66CC6" w:rsidRDefault="00F66CC6" w:rsidP="0047570A">
      <w:pPr>
        <w:ind w:firstLine="0"/>
        <w:jc w:val="left"/>
      </w:pPr>
    </w:p>
    <w:p w:rsidR="009D0484" w:rsidRDefault="009D0484" w:rsidP="0047570A">
      <w:pPr>
        <w:ind w:firstLine="0"/>
        <w:jc w:val="left"/>
      </w:pPr>
      <w:r>
        <w:t>4.2. Замечание экспертов по показателям:</w:t>
      </w:r>
    </w:p>
    <w:p w:rsidR="00F66CC6" w:rsidRDefault="00F66CC6" w:rsidP="0047570A">
      <w:pPr>
        <w:ind w:firstLine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9D0484" w:rsidTr="00C83925">
        <w:tc>
          <w:tcPr>
            <w:tcW w:w="5210" w:type="dxa"/>
            <w:shd w:val="clear" w:color="auto" w:fill="auto"/>
          </w:tcPr>
          <w:p w:rsidR="009D0484" w:rsidRPr="00C83925" w:rsidRDefault="009D0484" w:rsidP="00C83925">
            <w:pPr>
              <w:ind w:firstLine="0"/>
              <w:jc w:val="center"/>
              <w:rPr>
                <w:b/>
              </w:rPr>
            </w:pPr>
            <w:r w:rsidRPr="00C83925">
              <w:rPr>
                <w:b/>
              </w:rPr>
              <w:t>Показатель</w:t>
            </w:r>
          </w:p>
        </w:tc>
        <w:tc>
          <w:tcPr>
            <w:tcW w:w="5211" w:type="dxa"/>
            <w:shd w:val="clear" w:color="auto" w:fill="auto"/>
          </w:tcPr>
          <w:p w:rsidR="009D0484" w:rsidRPr="00C83925" w:rsidRDefault="009D0484" w:rsidP="00C83925">
            <w:pPr>
              <w:ind w:firstLine="0"/>
              <w:jc w:val="center"/>
              <w:rPr>
                <w:b/>
              </w:rPr>
            </w:pPr>
            <w:r w:rsidRPr="00C83925">
              <w:rPr>
                <w:b/>
              </w:rPr>
              <w:t>Замечание</w:t>
            </w:r>
          </w:p>
        </w:tc>
      </w:tr>
      <w:tr w:rsidR="009D0484" w:rsidTr="00C83925">
        <w:tc>
          <w:tcPr>
            <w:tcW w:w="5210" w:type="dxa"/>
            <w:shd w:val="clear" w:color="auto" w:fill="auto"/>
          </w:tcPr>
          <w:p w:rsidR="009D0484" w:rsidRDefault="009D0484" w:rsidP="00C83925">
            <w:pPr>
              <w:ind w:firstLine="0"/>
              <w:jc w:val="left"/>
            </w:pPr>
          </w:p>
        </w:tc>
        <w:tc>
          <w:tcPr>
            <w:tcW w:w="5211" w:type="dxa"/>
            <w:shd w:val="clear" w:color="auto" w:fill="auto"/>
          </w:tcPr>
          <w:p w:rsidR="009D0484" w:rsidRDefault="009D0484" w:rsidP="00C83925">
            <w:pPr>
              <w:ind w:firstLine="0"/>
              <w:jc w:val="left"/>
            </w:pPr>
          </w:p>
        </w:tc>
      </w:tr>
      <w:tr w:rsidR="009D0484" w:rsidTr="00C83925">
        <w:tc>
          <w:tcPr>
            <w:tcW w:w="5210" w:type="dxa"/>
            <w:shd w:val="clear" w:color="auto" w:fill="auto"/>
          </w:tcPr>
          <w:p w:rsidR="009D0484" w:rsidRDefault="009D0484" w:rsidP="00C83925">
            <w:pPr>
              <w:ind w:firstLine="0"/>
              <w:jc w:val="left"/>
            </w:pPr>
          </w:p>
        </w:tc>
        <w:tc>
          <w:tcPr>
            <w:tcW w:w="5211" w:type="dxa"/>
            <w:shd w:val="clear" w:color="auto" w:fill="auto"/>
          </w:tcPr>
          <w:p w:rsidR="009D0484" w:rsidRDefault="009D0484" w:rsidP="00C83925">
            <w:pPr>
              <w:ind w:firstLine="0"/>
              <w:jc w:val="left"/>
            </w:pPr>
          </w:p>
        </w:tc>
      </w:tr>
    </w:tbl>
    <w:p w:rsidR="009D0484" w:rsidRDefault="009D0484" w:rsidP="0047570A">
      <w:pPr>
        <w:ind w:firstLine="0"/>
        <w:jc w:val="left"/>
      </w:pPr>
    </w:p>
    <w:p w:rsidR="009D0484" w:rsidRDefault="009D0484" w:rsidP="0047570A">
      <w:pPr>
        <w:ind w:firstLine="0"/>
        <w:jc w:val="left"/>
      </w:pPr>
      <w:r>
        <w:t>4.3. Рекомендации экспертной комиссии для аккредитующей организации по проекту решения</w:t>
      </w:r>
    </w:p>
    <w:p w:rsidR="0047570A" w:rsidRDefault="0047570A" w:rsidP="0047570A">
      <w:pPr>
        <w:ind w:firstLine="0"/>
        <w:jc w:val="left"/>
      </w:pPr>
    </w:p>
    <w:p w:rsidR="009D0484" w:rsidRDefault="009D0484" w:rsidP="009D0484">
      <w:pPr>
        <w:ind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70A" w:rsidRDefault="0047570A" w:rsidP="0047570A">
      <w:pPr>
        <w:ind w:firstLine="0"/>
        <w:jc w:val="left"/>
      </w:pPr>
    </w:p>
    <w:p w:rsidR="009D0484" w:rsidRDefault="009D0484" w:rsidP="0047570A">
      <w:pPr>
        <w:ind w:firstLine="0"/>
        <w:jc w:val="left"/>
      </w:pPr>
    </w:p>
    <w:p w:rsidR="009D0484" w:rsidRPr="009D0484" w:rsidRDefault="009D0484" w:rsidP="0047570A">
      <w:pPr>
        <w:ind w:firstLine="0"/>
        <w:jc w:val="left"/>
        <w:rPr>
          <w:b/>
        </w:rPr>
      </w:pPr>
      <w:r w:rsidRPr="009D0484">
        <w:rPr>
          <w:b/>
        </w:rPr>
        <w:t xml:space="preserve">5. Приложения </w:t>
      </w:r>
    </w:p>
    <w:p w:rsidR="009D0484" w:rsidRDefault="009D0484" w:rsidP="0047570A">
      <w:pPr>
        <w:ind w:firstLine="0"/>
        <w:jc w:val="left"/>
      </w:pPr>
      <w:r>
        <w:t>5.1. Экспертный лист (эксперт, ФИО)</w:t>
      </w:r>
    </w:p>
    <w:p w:rsidR="009D0484" w:rsidRDefault="009D0484" w:rsidP="0047570A">
      <w:pPr>
        <w:ind w:firstLine="0"/>
        <w:jc w:val="left"/>
      </w:pPr>
      <w:r>
        <w:t>5.2. Экспертный лист (эксперт, ФИО)</w:t>
      </w:r>
    </w:p>
    <w:p w:rsidR="009D0484" w:rsidRDefault="009D0484" w:rsidP="0047570A">
      <w:pPr>
        <w:ind w:firstLine="0"/>
        <w:jc w:val="left"/>
      </w:pPr>
      <w:r>
        <w:t>5.3. Экспертный лист (эксперт, ФИО)</w:t>
      </w:r>
    </w:p>
    <w:p w:rsidR="009D0484" w:rsidRDefault="009D0484" w:rsidP="0047570A">
      <w:pPr>
        <w:ind w:firstLine="0"/>
        <w:jc w:val="left"/>
      </w:pPr>
    </w:p>
    <w:p w:rsidR="009D0484" w:rsidRDefault="009D0484" w:rsidP="0047570A">
      <w:pPr>
        <w:ind w:firstLine="0"/>
        <w:jc w:val="left"/>
      </w:pPr>
    </w:p>
    <w:p w:rsidR="001D3218" w:rsidRDefault="001D3218" w:rsidP="0047570A">
      <w:pPr>
        <w:ind w:firstLine="0"/>
        <w:jc w:val="left"/>
      </w:pPr>
    </w:p>
    <w:p w:rsidR="001D3218" w:rsidRDefault="001D3218" w:rsidP="0047570A">
      <w:pPr>
        <w:ind w:firstLine="0"/>
        <w:jc w:val="left"/>
      </w:pPr>
    </w:p>
    <w:tbl>
      <w:tblPr>
        <w:tblStyle w:val="af2"/>
        <w:tblW w:w="10456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</w:tblGrid>
      <w:tr w:rsidR="003E4D2B" w:rsidTr="003E4D2B">
        <w:tc>
          <w:tcPr>
            <w:tcW w:w="3369" w:type="dxa"/>
          </w:tcPr>
          <w:p w:rsidR="003E4D2B" w:rsidRDefault="003E4D2B" w:rsidP="0047570A">
            <w:pPr>
              <w:ind w:firstLine="0"/>
              <w:jc w:val="left"/>
            </w:pPr>
            <w:r>
              <w:t>Председатель</w:t>
            </w:r>
          </w:p>
          <w:p w:rsidR="003E4D2B" w:rsidRDefault="003E4D2B" w:rsidP="0047570A">
            <w:pPr>
              <w:ind w:firstLine="0"/>
              <w:jc w:val="left"/>
            </w:pPr>
            <w:r>
              <w:t>экспертной комиссии</w:t>
            </w:r>
          </w:p>
          <w:p w:rsidR="003E4D2B" w:rsidRDefault="003E4D2B" w:rsidP="0047570A">
            <w:pPr>
              <w:ind w:firstLine="0"/>
              <w:jc w:val="left"/>
            </w:pPr>
          </w:p>
        </w:tc>
        <w:tc>
          <w:tcPr>
            <w:tcW w:w="3543" w:type="dxa"/>
          </w:tcPr>
          <w:p w:rsidR="003E4D2B" w:rsidRDefault="003E4D2B" w:rsidP="0047570A">
            <w:pPr>
              <w:ind w:firstLine="0"/>
              <w:jc w:val="left"/>
            </w:pPr>
          </w:p>
        </w:tc>
        <w:tc>
          <w:tcPr>
            <w:tcW w:w="3544" w:type="dxa"/>
          </w:tcPr>
          <w:p w:rsidR="003E4D2B" w:rsidRDefault="003E4D2B" w:rsidP="0047570A">
            <w:pPr>
              <w:ind w:firstLine="0"/>
              <w:jc w:val="left"/>
            </w:pPr>
          </w:p>
        </w:tc>
      </w:tr>
      <w:tr w:rsidR="003E4D2B" w:rsidTr="003E4D2B">
        <w:tc>
          <w:tcPr>
            <w:tcW w:w="3369" w:type="dxa"/>
          </w:tcPr>
          <w:p w:rsidR="003E4D2B" w:rsidRDefault="003E4D2B" w:rsidP="0047570A">
            <w:pPr>
              <w:ind w:firstLine="0"/>
              <w:jc w:val="left"/>
            </w:pPr>
            <w:r>
              <w:t>Эксперт</w:t>
            </w:r>
          </w:p>
          <w:p w:rsidR="003E4D2B" w:rsidRDefault="003E4D2B" w:rsidP="0047570A">
            <w:pPr>
              <w:ind w:firstLine="0"/>
              <w:jc w:val="left"/>
            </w:pPr>
          </w:p>
        </w:tc>
        <w:tc>
          <w:tcPr>
            <w:tcW w:w="3543" w:type="dxa"/>
          </w:tcPr>
          <w:p w:rsidR="003E4D2B" w:rsidRDefault="003E4D2B" w:rsidP="0047570A">
            <w:pPr>
              <w:ind w:firstLine="0"/>
              <w:jc w:val="left"/>
            </w:pPr>
          </w:p>
        </w:tc>
        <w:tc>
          <w:tcPr>
            <w:tcW w:w="3544" w:type="dxa"/>
          </w:tcPr>
          <w:p w:rsidR="003E4D2B" w:rsidRDefault="003E4D2B" w:rsidP="0047570A">
            <w:pPr>
              <w:ind w:firstLine="0"/>
              <w:jc w:val="left"/>
            </w:pPr>
          </w:p>
        </w:tc>
      </w:tr>
      <w:tr w:rsidR="003E4D2B" w:rsidTr="003E4D2B">
        <w:tc>
          <w:tcPr>
            <w:tcW w:w="3369" w:type="dxa"/>
          </w:tcPr>
          <w:p w:rsidR="003E4D2B" w:rsidRDefault="003E4D2B" w:rsidP="0047570A">
            <w:pPr>
              <w:ind w:firstLine="0"/>
              <w:jc w:val="left"/>
            </w:pPr>
            <w:r>
              <w:t>Эксперт</w:t>
            </w:r>
          </w:p>
          <w:p w:rsidR="003E4D2B" w:rsidRDefault="003E4D2B" w:rsidP="0047570A">
            <w:pPr>
              <w:ind w:firstLine="0"/>
              <w:jc w:val="left"/>
            </w:pPr>
          </w:p>
        </w:tc>
        <w:tc>
          <w:tcPr>
            <w:tcW w:w="3543" w:type="dxa"/>
          </w:tcPr>
          <w:p w:rsidR="003E4D2B" w:rsidRDefault="003E4D2B" w:rsidP="0047570A">
            <w:pPr>
              <w:ind w:firstLine="0"/>
              <w:jc w:val="left"/>
            </w:pPr>
          </w:p>
        </w:tc>
        <w:tc>
          <w:tcPr>
            <w:tcW w:w="3544" w:type="dxa"/>
          </w:tcPr>
          <w:p w:rsidR="003E4D2B" w:rsidRDefault="003E4D2B" w:rsidP="0047570A">
            <w:pPr>
              <w:ind w:firstLine="0"/>
              <w:jc w:val="left"/>
            </w:pPr>
          </w:p>
        </w:tc>
      </w:tr>
    </w:tbl>
    <w:p w:rsidR="001D3218" w:rsidRDefault="001D3218" w:rsidP="0047570A">
      <w:pPr>
        <w:ind w:firstLine="0"/>
        <w:jc w:val="left"/>
      </w:pPr>
    </w:p>
    <w:p w:rsidR="009D0484" w:rsidRDefault="009D0484" w:rsidP="0047570A">
      <w:pPr>
        <w:ind w:firstLine="0"/>
        <w:jc w:val="left"/>
      </w:pPr>
    </w:p>
    <w:p w:rsidR="003E4D2B" w:rsidRDefault="003E4D2B" w:rsidP="003E4D2B">
      <w:pPr>
        <w:ind w:firstLine="0"/>
        <w:jc w:val="left"/>
      </w:pPr>
      <w:r>
        <w:t>«_</w:t>
      </w:r>
      <w:r w:rsidR="00450910">
        <w:t>_</w:t>
      </w:r>
      <w:r>
        <w:t>_»</w:t>
      </w:r>
      <w:r w:rsidR="00450910">
        <w:t xml:space="preserve"> </w:t>
      </w:r>
      <w:r>
        <w:t>______________ 20</w:t>
      </w:r>
      <w:r w:rsidR="00541867">
        <w:t>__</w:t>
      </w:r>
      <w:bookmarkStart w:id="0" w:name="_GoBack"/>
      <w:bookmarkEnd w:id="0"/>
      <w:r>
        <w:t>г.</w:t>
      </w:r>
    </w:p>
    <w:p w:rsidR="009D0484" w:rsidRDefault="009D0484" w:rsidP="009D0484">
      <w:pPr>
        <w:ind w:firstLine="708"/>
        <w:jc w:val="left"/>
        <w:rPr>
          <w:i/>
        </w:rPr>
      </w:pPr>
    </w:p>
    <w:p w:rsidR="009D0484" w:rsidRDefault="009D0484" w:rsidP="009D0484">
      <w:pPr>
        <w:ind w:firstLine="708"/>
        <w:jc w:val="left"/>
        <w:rPr>
          <w:i/>
        </w:rPr>
      </w:pPr>
    </w:p>
    <w:p w:rsidR="009D0484" w:rsidRDefault="009D0484" w:rsidP="009D0484">
      <w:pPr>
        <w:ind w:firstLine="708"/>
        <w:jc w:val="left"/>
        <w:rPr>
          <w:i/>
        </w:rPr>
      </w:pPr>
    </w:p>
    <w:p w:rsidR="003E4D2B" w:rsidRPr="00C00423" w:rsidRDefault="003E4D2B" w:rsidP="009D0484">
      <w:pPr>
        <w:ind w:firstLine="708"/>
        <w:jc w:val="left"/>
      </w:pPr>
    </w:p>
    <w:p w:rsidR="003E4D2B" w:rsidRPr="00C00423" w:rsidRDefault="003E4D2B" w:rsidP="009D0484">
      <w:pPr>
        <w:ind w:firstLine="708"/>
        <w:jc w:val="left"/>
      </w:pPr>
    </w:p>
    <w:p w:rsidR="00C00423" w:rsidRPr="00C00423" w:rsidRDefault="00C00423" w:rsidP="009D0484">
      <w:pPr>
        <w:ind w:firstLine="708"/>
        <w:jc w:val="left"/>
      </w:pPr>
    </w:p>
    <w:p w:rsidR="00C00423" w:rsidRPr="00C00423" w:rsidRDefault="00C00423" w:rsidP="009D0484">
      <w:pPr>
        <w:ind w:firstLine="708"/>
        <w:jc w:val="left"/>
      </w:pPr>
    </w:p>
    <w:sectPr w:rsidR="00C00423" w:rsidRPr="00C00423" w:rsidSect="008631D5">
      <w:pgSz w:w="11900" w:h="16840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79" w:rsidRDefault="00AC6A79" w:rsidP="00A1575C">
      <w:r>
        <w:separator/>
      </w:r>
    </w:p>
  </w:endnote>
  <w:endnote w:type="continuationSeparator" w:id="0">
    <w:p w:rsidR="00AC6A79" w:rsidRDefault="00AC6A79" w:rsidP="00A1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Yu Gothic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75C" w:rsidRDefault="00A157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41867">
      <w:rPr>
        <w:noProof/>
      </w:rPr>
      <w:t>8</w:t>
    </w:r>
    <w:r>
      <w:fldChar w:fldCharType="end"/>
    </w:r>
  </w:p>
  <w:p w:rsidR="00A1575C" w:rsidRDefault="00A157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79" w:rsidRDefault="00AC6A79" w:rsidP="00A1575C">
      <w:r>
        <w:separator/>
      </w:r>
    </w:p>
  </w:footnote>
  <w:footnote w:type="continuationSeparator" w:id="0">
    <w:p w:rsidR="00AC6A79" w:rsidRDefault="00AC6A79" w:rsidP="00A1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E44" w:rsidRPr="00115E44" w:rsidRDefault="00115E44">
    <w:pPr>
      <w:pStyle w:val="ab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5676" w:hanging="360"/>
      </w:pPr>
      <w:rPr>
        <w:rFonts w:ascii="Symbol" w:hAnsi="Symbol" w:cs="Symbol"/>
        <w:spacing w:val="-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5676" w:hanging="360"/>
      </w:pPr>
      <w:rPr>
        <w:rFonts w:ascii="Symbol" w:hAnsi="Symbol" w:cs="Symbol"/>
        <w:spacing w:val="-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7B0112"/>
    <w:multiLevelType w:val="hybridMultilevel"/>
    <w:tmpl w:val="CB48238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B2379"/>
    <w:multiLevelType w:val="hybridMultilevel"/>
    <w:tmpl w:val="FC68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D3FA7"/>
    <w:multiLevelType w:val="multilevel"/>
    <w:tmpl w:val="5EDECAC0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1608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6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49297B1A"/>
    <w:multiLevelType w:val="multilevel"/>
    <w:tmpl w:val="D5E0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355CC9"/>
    <w:multiLevelType w:val="hybridMultilevel"/>
    <w:tmpl w:val="3A182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738B3"/>
    <w:multiLevelType w:val="multilevel"/>
    <w:tmpl w:val="1472A5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59170BEB"/>
    <w:multiLevelType w:val="hybridMultilevel"/>
    <w:tmpl w:val="DBFE3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CB6B12"/>
    <w:multiLevelType w:val="hybridMultilevel"/>
    <w:tmpl w:val="632A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F32F9"/>
    <w:multiLevelType w:val="hybridMultilevel"/>
    <w:tmpl w:val="AE742060"/>
    <w:lvl w:ilvl="0" w:tplc="70E212F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 w15:restartNumberingAfterBreak="0">
    <w:nsid w:val="773210DF"/>
    <w:multiLevelType w:val="hybridMultilevel"/>
    <w:tmpl w:val="C08A05EA"/>
    <w:lvl w:ilvl="0" w:tplc="5C5CBE9A">
      <w:start w:val="1"/>
      <w:numFmt w:val="bullet"/>
      <w:lvlText w:val="-"/>
      <w:lvlJc w:val="left"/>
      <w:pPr>
        <w:ind w:left="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E02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BA84F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4C67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A606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F0AD5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1201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63D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E6F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E227CC"/>
    <w:multiLevelType w:val="hybridMultilevel"/>
    <w:tmpl w:val="03E0E91E"/>
    <w:lvl w:ilvl="0" w:tplc="338499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3"/>
  </w:num>
  <w:num w:numId="10">
    <w:abstractNumId w:val="15"/>
  </w:num>
  <w:num w:numId="11">
    <w:abstractNumId w:val="17"/>
  </w:num>
  <w:num w:numId="12">
    <w:abstractNumId w:val="7"/>
  </w:num>
  <w:num w:numId="13">
    <w:abstractNumId w:val="11"/>
  </w:num>
  <w:num w:numId="14">
    <w:abstractNumId w:val="8"/>
  </w:num>
  <w:num w:numId="15">
    <w:abstractNumId w:val="14"/>
  </w:num>
  <w:num w:numId="16">
    <w:abstractNumId w:val="1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69"/>
    <w:rsid w:val="000000C8"/>
    <w:rsid w:val="000026B9"/>
    <w:rsid w:val="00017C2F"/>
    <w:rsid w:val="00022AE4"/>
    <w:rsid w:val="0003102C"/>
    <w:rsid w:val="000441D6"/>
    <w:rsid w:val="000665CB"/>
    <w:rsid w:val="00083EF9"/>
    <w:rsid w:val="000A01F9"/>
    <w:rsid w:val="000B49F5"/>
    <w:rsid w:val="000C0F6F"/>
    <w:rsid w:val="000D6DB4"/>
    <w:rsid w:val="000E0A95"/>
    <w:rsid w:val="000F6C8B"/>
    <w:rsid w:val="000F7742"/>
    <w:rsid w:val="000F7DA2"/>
    <w:rsid w:val="00113E70"/>
    <w:rsid w:val="00115A7F"/>
    <w:rsid w:val="00115E44"/>
    <w:rsid w:val="00117C64"/>
    <w:rsid w:val="00117FAE"/>
    <w:rsid w:val="00152010"/>
    <w:rsid w:val="0017127C"/>
    <w:rsid w:val="00184641"/>
    <w:rsid w:val="00184A84"/>
    <w:rsid w:val="00186D9C"/>
    <w:rsid w:val="001B3279"/>
    <w:rsid w:val="001B7CBC"/>
    <w:rsid w:val="001C3597"/>
    <w:rsid w:val="001D3218"/>
    <w:rsid w:val="001D59B5"/>
    <w:rsid w:val="001E2E7E"/>
    <w:rsid w:val="001E63A8"/>
    <w:rsid w:val="001F7CFE"/>
    <w:rsid w:val="00216548"/>
    <w:rsid w:val="00223C0E"/>
    <w:rsid w:val="00224A32"/>
    <w:rsid w:val="00226F21"/>
    <w:rsid w:val="00240E2A"/>
    <w:rsid w:val="00286639"/>
    <w:rsid w:val="00295BB6"/>
    <w:rsid w:val="002A36CB"/>
    <w:rsid w:val="002A41B0"/>
    <w:rsid w:val="002C4D49"/>
    <w:rsid w:val="002F4356"/>
    <w:rsid w:val="00310C6A"/>
    <w:rsid w:val="00313430"/>
    <w:rsid w:val="003240CB"/>
    <w:rsid w:val="003244D4"/>
    <w:rsid w:val="00333614"/>
    <w:rsid w:val="00336C47"/>
    <w:rsid w:val="003402B5"/>
    <w:rsid w:val="00340324"/>
    <w:rsid w:val="00361836"/>
    <w:rsid w:val="0038017A"/>
    <w:rsid w:val="00394B69"/>
    <w:rsid w:val="003E4D2B"/>
    <w:rsid w:val="0040475B"/>
    <w:rsid w:val="0042361A"/>
    <w:rsid w:val="0042717E"/>
    <w:rsid w:val="00447F40"/>
    <w:rsid w:val="00450910"/>
    <w:rsid w:val="0047570A"/>
    <w:rsid w:val="00480D61"/>
    <w:rsid w:val="0048431A"/>
    <w:rsid w:val="004A29CD"/>
    <w:rsid w:val="004A6DEF"/>
    <w:rsid w:val="004A7DF2"/>
    <w:rsid w:val="004B29C3"/>
    <w:rsid w:val="004C1393"/>
    <w:rsid w:val="004D5569"/>
    <w:rsid w:val="00503EB6"/>
    <w:rsid w:val="00517E1F"/>
    <w:rsid w:val="00525EB1"/>
    <w:rsid w:val="00530779"/>
    <w:rsid w:val="005307AF"/>
    <w:rsid w:val="00533F3D"/>
    <w:rsid w:val="00541867"/>
    <w:rsid w:val="00542B26"/>
    <w:rsid w:val="00554503"/>
    <w:rsid w:val="00556C0B"/>
    <w:rsid w:val="00572AB4"/>
    <w:rsid w:val="005776D7"/>
    <w:rsid w:val="00584F97"/>
    <w:rsid w:val="00585EF5"/>
    <w:rsid w:val="00590B8B"/>
    <w:rsid w:val="00592F6A"/>
    <w:rsid w:val="005A6CF9"/>
    <w:rsid w:val="005A7223"/>
    <w:rsid w:val="005D3ADE"/>
    <w:rsid w:val="005D523F"/>
    <w:rsid w:val="005E1AE4"/>
    <w:rsid w:val="005E1BF6"/>
    <w:rsid w:val="005F6AF6"/>
    <w:rsid w:val="00625140"/>
    <w:rsid w:val="00633A69"/>
    <w:rsid w:val="00635C72"/>
    <w:rsid w:val="00637452"/>
    <w:rsid w:val="00643F8E"/>
    <w:rsid w:val="00660351"/>
    <w:rsid w:val="00664758"/>
    <w:rsid w:val="00666698"/>
    <w:rsid w:val="0067636D"/>
    <w:rsid w:val="00684B27"/>
    <w:rsid w:val="00690709"/>
    <w:rsid w:val="006B19A7"/>
    <w:rsid w:val="006B1C7A"/>
    <w:rsid w:val="006C0518"/>
    <w:rsid w:val="006C2C46"/>
    <w:rsid w:val="006D225F"/>
    <w:rsid w:val="006D4136"/>
    <w:rsid w:val="006D5190"/>
    <w:rsid w:val="006E1B6E"/>
    <w:rsid w:val="00700993"/>
    <w:rsid w:val="00707D4E"/>
    <w:rsid w:val="0072415F"/>
    <w:rsid w:val="00725305"/>
    <w:rsid w:val="0074313C"/>
    <w:rsid w:val="00744AF1"/>
    <w:rsid w:val="00746855"/>
    <w:rsid w:val="00752DB7"/>
    <w:rsid w:val="00755183"/>
    <w:rsid w:val="00755432"/>
    <w:rsid w:val="00780F61"/>
    <w:rsid w:val="007877DE"/>
    <w:rsid w:val="007901AB"/>
    <w:rsid w:val="007D7EB3"/>
    <w:rsid w:val="007F1A98"/>
    <w:rsid w:val="008160ED"/>
    <w:rsid w:val="0083390B"/>
    <w:rsid w:val="00842C19"/>
    <w:rsid w:val="0085383A"/>
    <w:rsid w:val="00860720"/>
    <w:rsid w:val="008631D5"/>
    <w:rsid w:val="008670FD"/>
    <w:rsid w:val="0087329E"/>
    <w:rsid w:val="00882558"/>
    <w:rsid w:val="00882D63"/>
    <w:rsid w:val="008C1641"/>
    <w:rsid w:val="008D45B5"/>
    <w:rsid w:val="00900668"/>
    <w:rsid w:val="00910DC8"/>
    <w:rsid w:val="00912B4A"/>
    <w:rsid w:val="00915E30"/>
    <w:rsid w:val="00923668"/>
    <w:rsid w:val="00925839"/>
    <w:rsid w:val="00932B25"/>
    <w:rsid w:val="00943C8A"/>
    <w:rsid w:val="00966C4B"/>
    <w:rsid w:val="009673F1"/>
    <w:rsid w:val="0096741C"/>
    <w:rsid w:val="0097623C"/>
    <w:rsid w:val="009B1454"/>
    <w:rsid w:val="009B3400"/>
    <w:rsid w:val="009D0484"/>
    <w:rsid w:val="009F6003"/>
    <w:rsid w:val="00A02127"/>
    <w:rsid w:val="00A1575C"/>
    <w:rsid w:val="00A35368"/>
    <w:rsid w:val="00A43053"/>
    <w:rsid w:val="00A53AE8"/>
    <w:rsid w:val="00A6543A"/>
    <w:rsid w:val="00A67254"/>
    <w:rsid w:val="00A84824"/>
    <w:rsid w:val="00AA0DD9"/>
    <w:rsid w:val="00AA7E36"/>
    <w:rsid w:val="00AB141A"/>
    <w:rsid w:val="00AC6A79"/>
    <w:rsid w:val="00AD7A06"/>
    <w:rsid w:val="00AE35F8"/>
    <w:rsid w:val="00AF0872"/>
    <w:rsid w:val="00AF54FD"/>
    <w:rsid w:val="00B27541"/>
    <w:rsid w:val="00B41877"/>
    <w:rsid w:val="00B556F4"/>
    <w:rsid w:val="00B62355"/>
    <w:rsid w:val="00B659C2"/>
    <w:rsid w:val="00B717B3"/>
    <w:rsid w:val="00B740D9"/>
    <w:rsid w:val="00B7662F"/>
    <w:rsid w:val="00B77FFE"/>
    <w:rsid w:val="00B83906"/>
    <w:rsid w:val="00B92C50"/>
    <w:rsid w:val="00B97F9D"/>
    <w:rsid w:val="00BA16C7"/>
    <w:rsid w:val="00BB27CA"/>
    <w:rsid w:val="00BC04DA"/>
    <w:rsid w:val="00BC14ED"/>
    <w:rsid w:val="00BE0717"/>
    <w:rsid w:val="00BF19CB"/>
    <w:rsid w:val="00BF2578"/>
    <w:rsid w:val="00C00423"/>
    <w:rsid w:val="00C13E9A"/>
    <w:rsid w:val="00C27668"/>
    <w:rsid w:val="00C622C2"/>
    <w:rsid w:val="00C7368F"/>
    <w:rsid w:val="00C764F5"/>
    <w:rsid w:val="00C807C7"/>
    <w:rsid w:val="00C81DE3"/>
    <w:rsid w:val="00C8203A"/>
    <w:rsid w:val="00C83925"/>
    <w:rsid w:val="00C84072"/>
    <w:rsid w:val="00CA6694"/>
    <w:rsid w:val="00CA7BCD"/>
    <w:rsid w:val="00CB15E9"/>
    <w:rsid w:val="00CB7285"/>
    <w:rsid w:val="00CB7A96"/>
    <w:rsid w:val="00CC7185"/>
    <w:rsid w:val="00CD03BB"/>
    <w:rsid w:val="00CE174E"/>
    <w:rsid w:val="00CF14DC"/>
    <w:rsid w:val="00D05ADD"/>
    <w:rsid w:val="00D1524B"/>
    <w:rsid w:val="00D22EE3"/>
    <w:rsid w:val="00D55AB5"/>
    <w:rsid w:val="00D61BF9"/>
    <w:rsid w:val="00D71DBC"/>
    <w:rsid w:val="00D75315"/>
    <w:rsid w:val="00D812CE"/>
    <w:rsid w:val="00DC5ED0"/>
    <w:rsid w:val="00DC67EB"/>
    <w:rsid w:val="00DD21BC"/>
    <w:rsid w:val="00DF02E0"/>
    <w:rsid w:val="00E075F9"/>
    <w:rsid w:val="00E10799"/>
    <w:rsid w:val="00E30EFE"/>
    <w:rsid w:val="00E37612"/>
    <w:rsid w:val="00E37F1E"/>
    <w:rsid w:val="00E77C7E"/>
    <w:rsid w:val="00EA6BD9"/>
    <w:rsid w:val="00EC1970"/>
    <w:rsid w:val="00ED068A"/>
    <w:rsid w:val="00ED26C6"/>
    <w:rsid w:val="00EE1A72"/>
    <w:rsid w:val="00EE6299"/>
    <w:rsid w:val="00EF77FF"/>
    <w:rsid w:val="00EF7881"/>
    <w:rsid w:val="00F22ABC"/>
    <w:rsid w:val="00F265B0"/>
    <w:rsid w:val="00F52C1E"/>
    <w:rsid w:val="00F62C5E"/>
    <w:rsid w:val="00F63C6C"/>
    <w:rsid w:val="00F66CC6"/>
    <w:rsid w:val="00FB3510"/>
    <w:rsid w:val="00FB3686"/>
    <w:rsid w:val="00FD0821"/>
    <w:rsid w:val="00F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24390E"/>
  <w15:docId w15:val="{D81B3514-6769-48E6-ACD5-E4BDABE8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107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F7742"/>
    <w:pPr>
      <w:suppressAutoHyphens w:val="0"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pacing w:val="-20"/>
    </w:rPr>
  </w:style>
  <w:style w:type="character" w:customStyle="1" w:styleId="WW8Num2z0">
    <w:name w:val="WW8Num2z0"/>
    <w:rPr>
      <w:rFonts w:ascii="Symbol" w:hAnsi="Symbol" w:cs="Symbol"/>
      <w:spacing w:val="-20"/>
    </w:rPr>
  </w:style>
  <w:style w:type="character" w:customStyle="1" w:styleId="WW8Num3z0">
    <w:name w:val="WW8Num3z0"/>
    <w:rPr>
      <w:rFonts w:ascii="Symbol" w:hAnsi="Symbol" w:cs="Symbol"/>
      <w:spacing w:val="-20"/>
    </w:rPr>
  </w:style>
  <w:style w:type="character" w:customStyle="1" w:styleId="WW8Num4z0">
    <w:name w:val="WW8Num4z0"/>
    <w:rPr>
      <w:rFonts w:ascii="Symbol" w:hAnsi="Symbol" w:cs="Symbol"/>
      <w:spacing w:val="-20"/>
    </w:rPr>
  </w:style>
  <w:style w:type="character" w:customStyle="1" w:styleId="WW8Num5z0">
    <w:name w:val="WW8Num5z0"/>
    <w:rPr>
      <w:rFonts w:ascii="Symbol" w:hAnsi="Symbol" w:cs="Symbol"/>
      <w:spacing w:val="-20"/>
    </w:rPr>
  </w:style>
  <w:style w:type="character" w:customStyle="1" w:styleId="WW8Num6z0">
    <w:name w:val="WW8Num6z0"/>
    <w:rPr>
      <w:rFonts w:ascii="Symbol" w:hAnsi="Symbol" w:cs="Symbol"/>
      <w:spacing w:val="-20"/>
    </w:rPr>
  </w:style>
  <w:style w:type="character" w:customStyle="1" w:styleId="Absatz-Standardschriftart">
    <w:name w:val="Absatz-Standardschriftart"/>
  </w:style>
  <w:style w:type="character" w:customStyle="1" w:styleId="3">
    <w:name w:val="Основной шрифт абзаца3"/>
  </w:style>
  <w:style w:type="character" w:customStyle="1" w:styleId="WW8Num7z0">
    <w:name w:val="WW8Num7z0"/>
    <w:rPr>
      <w:rFonts w:ascii="Symbol" w:hAnsi="Symbol" w:cs="Symbol"/>
      <w:spacing w:val="-20"/>
    </w:rPr>
  </w:style>
  <w:style w:type="character" w:customStyle="1" w:styleId="21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ohit Hind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Lohit Hindi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Hindi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qFormat/>
    <w:pPr>
      <w:ind w:left="720"/>
    </w:pPr>
  </w:style>
  <w:style w:type="paragraph" w:customStyle="1" w:styleId="ListParagraph1">
    <w:name w:val="List Paragraph1"/>
    <w:basedOn w:val="a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226F21"/>
  </w:style>
  <w:style w:type="paragraph" w:customStyle="1" w:styleId="ConsNormal">
    <w:name w:val="ConsNormal"/>
    <w:rsid w:val="00186D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0F7742"/>
    <w:rPr>
      <w:b/>
      <w:bCs/>
      <w:sz w:val="36"/>
      <w:szCs w:val="36"/>
    </w:rPr>
  </w:style>
  <w:style w:type="character" w:customStyle="1" w:styleId="10">
    <w:name w:val="Заголовок 1 Знак"/>
    <w:link w:val="1"/>
    <w:rsid w:val="00E1079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807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807C7"/>
    <w:rPr>
      <w:rFonts w:ascii="Tahoma" w:hAnsi="Tahoma" w:cs="Tahoma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unhideWhenUsed/>
    <w:rsid w:val="00A157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1575C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A157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1575C"/>
    <w:rPr>
      <w:sz w:val="24"/>
      <w:szCs w:val="24"/>
      <w:lang w:eastAsia="zh-CN"/>
    </w:rPr>
  </w:style>
  <w:style w:type="paragraph" w:styleId="af">
    <w:name w:val="footnote text"/>
    <w:basedOn w:val="a"/>
    <w:link w:val="af0"/>
    <w:uiPriority w:val="99"/>
    <w:semiHidden/>
    <w:unhideWhenUsed/>
    <w:rsid w:val="0072415F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72415F"/>
    <w:rPr>
      <w:lang w:eastAsia="zh-CN"/>
    </w:rPr>
  </w:style>
  <w:style w:type="character" w:styleId="af1">
    <w:name w:val="footnote reference"/>
    <w:uiPriority w:val="99"/>
    <w:semiHidden/>
    <w:unhideWhenUsed/>
    <w:rsid w:val="0072415F"/>
    <w:rPr>
      <w:vertAlign w:val="superscript"/>
    </w:rPr>
  </w:style>
  <w:style w:type="table" w:styleId="af2">
    <w:name w:val="Table Grid"/>
    <w:basedOn w:val="a1"/>
    <w:uiPriority w:val="59"/>
    <w:rsid w:val="00E3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22EE3"/>
    <w:pPr>
      <w:suppressAutoHyphens/>
      <w:autoSpaceDE w:val="0"/>
      <w:autoSpaceDN w:val="0"/>
      <w:textAlignment w:val="baseline"/>
    </w:pPr>
    <w:rPr>
      <w:rFonts w:eastAsia="Arial"/>
      <w:b/>
      <w:bCs/>
      <w:kern w:val="3"/>
      <w:sz w:val="28"/>
      <w:szCs w:val="28"/>
      <w:lang w:eastAsia="zh-CN"/>
    </w:rPr>
  </w:style>
  <w:style w:type="character" w:customStyle="1" w:styleId="24">
    <w:name w:val="Основной текст (2)_"/>
    <w:link w:val="25"/>
    <w:rsid w:val="006B1C7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1C7A"/>
    <w:pPr>
      <w:widowControl w:val="0"/>
      <w:shd w:val="clear" w:color="auto" w:fill="FFFFFF"/>
      <w:suppressAutoHyphens w:val="0"/>
      <w:spacing w:before="600" w:after="600" w:line="322" w:lineRule="exact"/>
      <w:ind w:firstLine="0"/>
      <w:jc w:val="left"/>
    </w:pPr>
    <w:rPr>
      <w:sz w:val="28"/>
      <w:szCs w:val="28"/>
      <w:lang w:eastAsia="ru-RU"/>
    </w:rPr>
  </w:style>
  <w:style w:type="character" w:customStyle="1" w:styleId="26">
    <w:name w:val="Основной текст (2) + Полужирный"/>
    <w:rsid w:val="00DF0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AD60-AB63-4557-9C11-F214FBFD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User</cp:lastModifiedBy>
  <cp:revision>12</cp:revision>
  <cp:lastPrinted>2014-10-23T09:12:00Z</cp:lastPrinted>
  <dcterms:created xsi:type="dcterms:W3CDTF">2019-02-13T10:47:00Z</dcterms:created>
  <dcterms:modified xsi:type="dcterms:W3CDTF">2022-05-28T08:24:00Z</dcterms:modified>
</cp:coreProperties>
</file>